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3" w:rsidRPr="007974D5" w:rsidRDefault="00D61D13" w:rsidP="00D61D1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OBRAZAC 1  </w:t>
      </w: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FC672E" w:rsidRDefault="00D61D13" w:rsidP="00D61D13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C672E">
        <w:rPr>
          <w:rFonts w:ascii="Arial" w:eastAsia="Times New Roman" w:hAnsi="Arial" w:cs="Arial"/>
          <w:b/>
          <w:color w:val="000000"/>
          <w:sz w:val="24"/>
          <w:szCs w:val="24"/>
        </w:rPr>
        <w:t>OPŠTINA BAR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Broj iz evide</w:t>
      </w:r>
      <w:r w:rsidR="00FA3CFD">
        <w:rPr>
          <w:rFonts w:ascii="Arial" w:eastAsia="Times New Roman" w:hAnsi="Arial" w:cs="Arial"/>
          <w:sz w:val="24"/>
          <w:szCs w:val="24"/>
        </w:rPr>
        <w:t>ncije postupaka javnih nabavki</w:t>
      </w:r>
      <w:r w:rsidR="00DA3FDC">
        <w:rPr>
          <w:rFonts w:ascii="Arial" w:eastAsia="Times New Roman" w:hAnsi="Arial" w:cs="Arial"/>
          <w:sz w:val="24"/>
          <w:szCs w:val="24"/>
        </w:rPr>
        <w:t>: 01-018/20-</w:t>
      </w:r>
      <w:r w:rsidR="00473489">
        <w:rPr>
          <w:rFonts w:ascii="Arial" w:eastAsia="Times New Roman" w:hAnsi="Arial" w:cs="Arial"/>
          <w:sz w:val="24"/>
          <w:szCs w:val="24"/>
        </w:rPr>
        <w:t>2946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Red</w:t>
      </w:r>
      <w:r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A3FDC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26742C"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D61D13" w:rsidRPr="00473489" w:rsidRDefault="00D61D13" w:rsidP="004734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FA3CFD">
        <w:rPr>
          <w:rFonts w:ascii="Arial" w:eastAsia="Times New Roman" w:hAnsi="Arial" w:cs="Arial"/>
          <w:color w:val="000000"/>
          <w:sz w:val="24"/>
          <w:szCs w:val="24"/>
        </w:rPr>
        <w:t xml:space="preserve">Bar, 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>05</w:t>
      </w:r>
      <w:r w:rsidR="002674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146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DA3FD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 xml:space="preserve">2020. </w:t>
      </w:r>
      <w:proofErr w:type="gramStart"/>
      <w:r w:rsidR="00473489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</w:p>
    <w:p w:rsidR="00D61D13" w:rsidRPr="007974D5" w:rsidRDefault="00D61D13" w:rsidP="00D61D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Opština Bar, </w:t>
      </w:r>
      <w:r w:rsidRPr="007974D5">
        <w:rPr>
          <w:rFonts w:ascii="Arial" w:eastAsia="Times New Roman" w:hAnsi="Arial" w:cs="Arial"/>
          <w:sz w:val="24"/>
          <w:szCs w:val="24"/>
        </w:rPr>
        <w:t>objavljuje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974D5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OTVORENI POSTUPAK JAVNE NABAVKE</w:t>
      </w: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61D13" w:rsidRPr="00275C5D" w:rsidRDefault="0026742C" w:rsidP="002674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8"/>
        </w:rPr>
        <w:t>za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8"/>
        </w:rPr>
        <w:t xml:space="preserve"> nabavku goriva za potrebe organa lokalne uprave</w:t>
      </w:r>
    </w:p>
    <w:p w:rsidR="00D61D13" w:rsidRPr="00275C5D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2674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6742C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26742C">
        <w:rPr>
          <w:rFonts w:ascii="Arial" w:eastAsia="Times New Roman" w:hAnsi="Arial" w:cs="Arial"/>
          <w:color w:val="000000"/>
          <w:sz w:val="24"/>
          <w:szCs w:val="24"/>
        </w:rPr>
        <w:t xml:space="preserve"> cjelina</w:t>
      </w: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Pr="007974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D61D13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D61D13" w:rsidRPr="00936ED8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highlight w:val="yellow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6ED8" w:rsidRPr="00FA5B1D" w:rsidRDefault="00936ED8" w:rsidP="00936ED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</w:p>
    <w:p w:rsidR="006F32DA" w:rsidRDefault="00936ED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FA5B1D">
        <w:rPr>
          <w:rFonts w:ascii="Arial" w:hAnsi="Arial" w:cs="Arial"/>
          <w:highlight w:val="yellow"/>
          <w:lang w:val="sr-Latn-ME"/>
        </w:rPr>
        <w:fldChar w:fldCharType="begin"/>
      </w:r>
      <w:r w:rsidRPr="00FA5B1D">
        <w:rPr>
          <w:rFonts w:ascii="Arial" w:hAnsi="Arial" w:cs="Arial"/>
          <w:highlight w:val="yellow"/>
          <w:lang w:val="sr-Latn-ME"/>
        </w:rPr>
        <w:instrText xml:space="preserve"> TOC \o "1-3" \h \z \u </w:instrText>
      </w:r>
      <w:r w:rsidRPr="00FA5B1D">
        <w:rPr>
          <w:rFonts w:ascii="Arial" w:hAnsi="Arial" w:cs="Arial"/>
          <w:highlight w:val="yellow"/>
          <w:lang w:val="sr-Latn-ME"/>
        </w:rPr>
        <w:fldChar w:fldCharType="separate"/>
      </w:r>
      <w:hyperlink w:anchor="_Toc54003124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iCs/>
            <w:noProof/>
          </w:rPr>
          <w:t>1.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POZIV ZA NADMETANJE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_Toc54003124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3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6F32D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r w:rsidRPr="006F32DA">
        <w:rPr>
          <w:rStyle w:val="Hyperlink"/>
          <w:b/>
          <w:noProof/>
          <w:color w:val="auto"/>
          <w:sz w:val="24"/>
          <w:u w:val="none"/>
        </w:rPr>
        <w:t>2.</w:t>
      </w:r>
      <w:r>
        <w:rPr>
          <w:rStyle w:val="Hyperlink"/>
          <w:b/>
          <w:noProof/>
          <w:u w:val="none"/>
        </w:rPr>
        <w:t xml:space="preserve">     </w:t>
      </w:r>
      <w:hyperlink w:anchor="_Toc54003125" w:history="1">
        <w:r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TEHNIČKA SPECIFIKACIJA PREDMETA JAVNE NABAVKE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_Toc54003125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6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4.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METODOLOGIJA VREDNOVANJA PONUDA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_Toc54003126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9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7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5.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UPUTSTVO ZA SAČINJAVANJE PONUDE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_Toc54003127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10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8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6.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NAČIN ZAKLJUČIVANJA I IZMJENE UGOVORA O JAVNOJ NABACI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_Toc54003128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10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29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7.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ZAHTJEV ZA POJAŠNJENJE ILI IZMJENU I DOPUNU TENDERSKE DOKUMENTACIJE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_Toc54003129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12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30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8.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IZJAVA NARUČIOCA O NEPOSTOJANJU SUKOBA INTERESA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_Toc54003130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13</w:t>
        </w:r>
        <w:r w:rsidR="006F32DA">
          <w:rPr>
            <w:noProof/>
            <w:webHidden/>
          </w:rPr>
          <w:fldChar w:fldCharType="end"/>
        </w:r>
      </w:hyperlink>
    </w:p>
    <w:p w:rsidR="006F32DA" w:rsidRDefault="007E0898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  <w:lang w:eastAsia="en-US"/>
        </w:rPr>
      </w:pPr>
      <w:hyperlink w:anchor="_Toc54003131" w:history="1">
        <w:r w:rsidR="006F32DA" w:rsidRPr="0023038B">
          <w:rPr>
            <w:rStyle w:val="Hyperlink"/>
            <w:rFonts w:ascii="Arial" w:eastAsia="Times New Roman" w:hAnsi="Arial" w:cs="Arial"/>
            <w:b/>
            <w:bCs/>
            <w:iCs/>
            <w:noProof/>
          </w:rPr>
          <w:t>9.</w:t>
        </w:r>
        <w:r w:rsidR="006F32DA">
          <w:rPr>
            <w:rFonts w:asciiTheme="minorHAnsi" w:eastAsiaTheme="minorEastAsia" w:hAnsiTheme="minorHAnsi" w:cstheme="minorBidi"/>
            <w:noProof/>
            <w:lang w:eastAsia="en-US"/>
          </w:rPr>
          <w:tab/>
        </w:r>
        <w:r w:rsidR="006F32DA" w:rsidRPr="0023038B">
          <w:rPr>
            <w:rStyle w:val="Hyperlink"/>
            <w:rFonts w:ascii="Arial" w:eastAsia="Times New Roman" w:hAnsi="Arial" w:cs="Arial"/>
            <w:b/>
            <w:bCs/>
            <w:noProof/>
          </w:rPr>
          <w:t>UPUTSTVO O PRAVNOM SREDSTVU</w:t>
        </w:r>
        <w:r w:rsidR="006F32DA">
          <w:rPr>
            <w:noProof/>
            <w:webHidden/>
          </w:rPr>
          <w:tab/>
        </w:r>
        <w:r w:rsidR="006F32DA">
          <w:rPr>
            <w:noProof/>
            <w:webHidden/>
          </w:rPr>
          <w:fldChar w:fldCharType="begin"/>
        </w:r>
        <w:r w:rsidR="006F32DA">
          <w:rPr>
            <w:noProof/>
            <w:webHidden/>
          </w:rPr>
          <w:instrText xml:space="preserve"> PAGEREF _Toc54003131 \h </w:instrText>
        </w:r>
        <w:r w:rsidR="006F32DA">
          <w:rPr>
            <w:noProof/>
            <w:webHidden/>
          </w:rPr>
        </w:r>
        <w:r w:rsidR="006F32DA">
          <w:rPr>
            <w:noProof/>
            <w:webHidden/>
          </w:rPr>
          <w:fldChar w:fldCharType="separate"/>
        </w:r>
        <w:r w:rsidR="00473489">
          <w:rPr>
            <w:noProof/>
            <w:webHidden/>
          </w:rPr>
          <w:t>14</w:t>
        </w:r>
        <w:r w:rsidR="006F32DA">
          <w:rPr>
            <w:noProof/>
            <w:webHidden/>
          </w:rPr>
          <w:fldChar w:fldCharType="end"/>
        </w:r>
      </w:hyperlink>
    </w:p>
    <w:p w:rsidR="00D61D13" w:rsidRDefault="00936ED8" w:rsidP="00936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B1D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F15794" w:rsidRDefault="00D61D13" w:rsidP="00D61D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F32DA" w:rsidRPr="007974D5" w:rsidRDefault="006F32DA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bookmarkStart w:id="0" w:name="_Toc54001453"/>
      <w:bookmarkStart w:id="1" w:name="_Toc54003124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POZIV ZA NADMETANJE</w:t>
      </w:r>
      <w:bookmarkEnd w:id="0"/>
      <w:bookmarkEnd w:id="1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61D13" w:rsidRPr="007974D5" w:rsidRDefault="00D61D13" w:rsidP="00D61D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D61D13" w:rsidRPr="007974D5" w:rsidRDefault="00D61D13" w:rsidP="00D61D1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   Podaci o naručiocu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140"/>
      </w:tblGrid>
      <w:tr w:rsidR="00D61D13" w:rsidRPr="007974D5" w:rsidTr="00DD0043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Naručilac: Opština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Kontakt-osoba: Marija Marković</w:t>
            </w:r>
          </w:p>
        </w:tc>
      </w:tr>
      <w:tr w:rsidR="00D61D13" w:rsidRPr="007974D5" w:rsidTr="00DD0043">
        <w:trPr>
          <w:trHeight w:val="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Adresa: Bulevar Revolucije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Poštanski broj: 85000</w:t>
            </w:r>
          </w:p>
        </w:tc>
      </w:tr>
      <w:tr w:rsidR="00D61D13" w:rsidRPr="007974D5" w:rsidTr="00DD0043">
        <w:trPr>
          <w:trHeight w:val="28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Grad: Bar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Identifikacioni broj: 02015099</w:t>
            </w:r>
          </w:p>
        </w:tc>
      </w:tr>
      <w:tr w:rsidR="00D61D13" w:rsidRPr="007974D5" w:rsidTr="00DD0043">
        <w:trPr>
          <w:trHeight w:val="3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Telefon: +382 (0)30 301 471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>Faks: +382 (0)30 301 467</w:t>
            </w:r>
          </w:p>
        </w:tc>
      </w:tr>
      <w:tr w:rsidR="00D61D13" w:rsidRPr="007974D5" w:rsidTr="00DD0043">
        <w:trPr>
          <w:trHeight w:val="32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Elektronska pošta e-mail: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13" w:rsidRPr="007974D5" w:rsidRDefault="00D61D13" w:rsidP="00DD004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974D5">
              <w:rPr>
                <w:rFonts w:ascii="Arial" w:hAnsi="Arial" w:cs="Arial"/>
                <w:sz w:val="24"/>
                <w:szCs w:val="24"/>
                <w:lang w:val="hr-HR"/>
              </w:rPr>
              <w:t xml:space="preserve">Internet stranica: </w:t>
            </w:r>
            <w:r w:rsidRPr="003B1D0F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Vrsta postupka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otvoreni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postupak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Predmet javne nabavke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61D13" w:rsidRPr="00BE7B7E" w:rsidRDefault="00D61D13" w:rsidP="00BE7B7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Vrsta predmeta javne nabavke</w:t>
      </w:r>
    </w:p>
    <w:p w:rsidR="00D61D13" w:rsidRPr="007974D5" w:rsidRDefault="00D61D13" w:rsidP="00D61D1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Robe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Naziv i opis predmeta javne nabavke</w:t>
      </w:r>
    </w:p>
    <w:p w:rsidR="00D61D13" w:rsidRPr="007974D5" w:rsidRDefault="00D61D13" w:rsidP="00D61D13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61D13" w:rsidRPr="007974D5" w:rsidTr="00DD0043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6742C" w:rsidRDefault="0026742C" w:rsidP="00DD0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Nabavka goriva</w:t>
            </w:r>
            <w:r w:rsidR="00F77F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 potrebe organa lokalne uprave.</w:t>
            </w:r>
          </w:p>
          <w:p w:rsidR="00D61D13" w:rsidRPr="007974D5" w:rsidRDefault="00D61D13" w:rsidP="00F77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61D13" w:rsidRPr="007974D5" w:rsidRDefault="00D61D13" w:rsidP="00D61D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b/>
          <w:bCs/>
          <w:color w:val="000000"/>
          <w:sz w:val="24"/>
          <w:szCs w:val="24"/>
        </w:rPr>
        <w:t>CPV – Jedinstveni rječnik javnih nabavki</w:t>
      </w:r>
    </w:p>
    <w:p w:rsidR="00D61D13" w:rsidRPr="007974D5" w:rsidRDefault="00D61D13" w:rsidP="00D61D13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61D13" w:rsidRPr="007974D5" w:rsidTr="00DD0043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77F09" w:rsidRPr="00F77F09" w:rsidRDefault="00F77F09" w:rsidP="00F77F0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F09">
              <w:rPr>
                <w:rFonts w:ascii="Arial" w:hAnsi="Arial" w:cs="Arial"/>
                <w:color w:val="000000"/>
                <w:sz w:val="24"/>
                <w:szCs w:val="24"/>
              </w:rPr>
              <w:t>09134200-9 Dizel gorivo</w:t>
            </w:r>
          </w:p>
          <w:p w:rsidR="00D61D13" w:rsidRPr="008C2DB2" w:rsidRDefault="00F77F09" w:rsidP="00DD004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7F09">
              <w:rPr>
                <w:rFonts w:ascii="Arial" w:hAnsi="Arial" w:cs="Arial"/>
                <w:color w:val="000000"/>
                <w:sz w:val="24"/>
                <w:szCs w:val="24"/>
              </w:rPr>
              <w:t>09132000-3 Benzin</w:t>
            </w:r>
          </w:p>
        </w:tc>
      </w:tr>
    </w:tbl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Način nabavke:</w:t>
      </w: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1D13" w:rsidRPr="007974D5" w:rsidRDefault="00D61D13" w:rsidP="00D61D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Nabavka se vrši:</w:t>
      </w:r>
    </w:p>
    <w:p w:rsidR="007974D5" w:rsidRDefault="00D61D13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8B5C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F77F09">
        <w:rPr>
          <w:rFonts w:ascii="Arial" w:hAnsi="Arial" w:cs="Arial"/>
          <w:color w:val="000000"/>
          <w:sz w:val="24"/>
          <w:szCs w:val="24"/>
        </w:rPr>
        <w:t>kao</w:t>
      </w:r>
      <w:proofErr w:type="gramEnd"/>
      <w:r w:rsidR="00F77F09">
        <w:rPr>
          <w:rFonts w:ascii="Arial" w:hAnsi="Arial" w:cs="Arial"/>
          <w:color w:val="000000"/>
          <w:sz w:val="24"/>
          <w:szCs w:val="24"/>
        </w:rPr>
        <w:t xml:space="preserve"> cjelina</w:t>
      </w:r>
    </w:p>
    <w:p w:rsidR="00F77F09" w:rsidRDefault="00F77F09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7F09" w:rsidRPr="00F77F09" w:rsidRDefault="00F77F09" w:rsidP="00F77F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F77F09">
        <w:rPr>
          <w:rFonts w:ascii="Arial" w:hAnsi="Arial" w:cs="Arial"/>
          <w:color w:val="000000"/>
          <w:sz w:val="24"/>
          <w:szCs w:val="24"/>
        </w:rPr>
        <w:t xml:space="preserve"> Obrazloženje razloga zašto predmet nabavke nije podijeljen </w:t>
      </w:r>
      <w:proofErr w:type="gramStart"/>
      <w:r w:rsidRPr="00F77F09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F77F09">
        <w:rPr>
          <w:rFonts w:ascii="Arial" w:hAnsi="Arial" w:cs="Arial"/>
          <w:color w:val="000000"/>
          <w:sz w:val="24"/>
          <w:szCs w:val="24"/>
        </w:rPr>
        <w:t xml:space="preserve"> partije:</w:t>
      </w:r>
    </w:p>
    <w:p w:rsidR="00F77F09" w:rsidRPr="00260B9A" w:rsidRDefault="00F77F09" w:rsidP="00F77F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P</w:t>
      </w:r>
      <w:r w:rsidRPr="00F77F09">
        <w:rPr>
          <w:rFonts w:ascii="Arial" w:hAnsi="Arial" w:cs="Arial"/>
          <w:color w:val="000000"/>
          <w:sz w:val="24"/>
          <w:szCs w:val="24"/>
        </w:rPr>
        <w:t xml:space="preserve">redmetna nabavka </w:t>
      </w:r>
      <w:r>
        <w:rPr>
          <w:rFonts w:ascii="Arial" w:hAnsi="Arial" w:cs="Arial"/>
          <w:color w:val="000000"/>
          <w:sz w:val="24"/>
          <w:szCs w:val="24"/>
        </w:rPr>
        <w:t>se nabavlja kao</w:t>
      </w:r>
      <w:r w:rsidRPr="00F77F09">
        <w:rPr>
          <w:rFonts w:ascii="Arial" w:hAnsi="Arial" w:cs="Arial"/>
          <w:color w:val="000000"/>
          <w:sz w:val="24"/>
          <w:szCs w:val="24"/>
        </w:rPr>
        <w:t xml:space="preserve"> jedinstvena cijelina i ne može se podijeliti </w:t>
      </w:r>
      <w:proofErr w:type="gramStart"/>
      <w:r w:rsidRPr="00F77F09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F77F09">
        <w:rPr>
          <w:rFonts w:ascii="Arial" w:hAnsi="Arial" w:cs="Arial"/>
          <w:color w:val="000000"/>
          <w:sz w:val="24"/>
          <w:szCs w:val="24"/>
        </w:rPr>
        <w:t xml:space="preserve"> partije.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V Zaključivanje okvirnog sporazuma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Zaključiće se okvirni sporazum: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Procijenjena vrijednost predmenta nabavke:</w:t>
      </w: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footnoteReference w:id="1"/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Procijenjena vrijednost predmeta nabavke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802436" w:rsidP="0080243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5CF0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8538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762D1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gramEnd"/>
      <w:r w:rsidR="007762D1">
        <w:rPr>
          <w:rFonts w:ascii="Arial" w:eastAsia="Times New Roman" w:hAnsi="Arial" w:cs="Arial"/>
          <w:color w:val="000000"/>
          <w:sz w:val="24"/>
          <w:szCs w:val="24"/>
        </w:rPr>
        <w:t xml:space="preserve"> cjeline je   32.644,6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A3CF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€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color w:val="000000"/>
          <w:sz w:val="24"/>
          <w:szCs w:val="24"/>
        </w:rPr>
        <w:t>VII Zajednička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se sprovodi kao zajednička nabavka: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VIII Centralizovana nabavka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>Nabavka je centralizovana: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IX Jezik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Ponuda se sačinjava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crnogorski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jezik i drugi jezik koji je u službenoj upotrebi u Crnoj Gori, u skladu sa Ustavom i zakonom</w:t>
      </w:r>
    </w:p>
    <w:p w:rsidR="00671F07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 Rok za donošenje odluke o izboru najpovoljnije ponude, odnosno odluke o poništenju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Odluka o izboru najpovoljnije ponude, </w:t>
      </w:r>
      <w:r w:rsidRPr="007974D5">
        <w:rPr>
          <w:rFonts w:ascii="Arial" w:eastAsia="Times New Roman" w:hAnsi="Arial" w:cs="Arial"/>
          <w:sz w:val="24"/>
          <w:szCs w:val="24"/>
        </w:rPr>
        <w:t>odnosno odluka o poništenju postupka javne nabavke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donijeće se u roku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1F07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</w:p>
    <w:p w:rsidR="00671F07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 Posebni oblik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PONUDA SA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Mogućnost podnošenja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varijantama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>Varijante ponude nijesu dozvoljene i neće biti razmatrane.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REZERVISANA NABAVKA</w:t>
      </w:r>
    </w:p>
    <w:p w:rsidR="007974D5" w:rsidRP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XII Uslovi za učešće u postupku javne nabavke i osnovi za isključenje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8F26A4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Obavezni uslovi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U postupku javne nabavke može da učestvuje samo privredni subjekat koji: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izmirio sve dospjele obaveze po osnovu poreza i doprinosa za penzijsko i zdravstveno osiguranje.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Dokazivanje ispunjenosti obaveznih uslova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obaveznih uslova dokazuje se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osnovu uvjerenja ili potvrde: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nadležnog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organa izdatog na osnovu kaznene evidencije, u skladu sa propisima države u kojoj privredni subjekat ima sjedište, odnosno u kojoj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izvršni direktor </w:t>
      </w:r>
      <w:r w:rsidRPr="007974D5">
        <w:rPr>
          <w:rFonts w:ascii="Arial" w:eastAsia="Times New Roman" w:hAnsi="Arial" w:cs="Arial"/>
          <w:sz w:val="24"/>
          <w:szCs w:val="24"/>
        </w:rPr>
        <w:t>tog privrednog subjekta ima prebivalište,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 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organa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uprave nadležnog za poslove naplate poreza, odnosno nadležnog organa države u kojoj privredni subjekat ima sjedište.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8F26A4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30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Uslovi sposobnosti privrednog subjekta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mora da ispunjava uslove sposobnosti: </w:t>
      </w: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obavljanje djelatnosti, </w:t>
      </w:r>
    </w:p>
    <w:p w:rsidR="00802436" w:rsidRPr="007974D5" w:rsidRDefault="00802436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B1. </w:t>
      </w:r>
      <w:r w:rsidRPr="007974D5">
        <w:rPr>
          <w:rFonts w:ascii="Arial" w:eastAsia="Times New Roman" w:hAnsi="Arial" w:cs="Arial"/>
          <w:b/>
          <w:sz w:val="24"/>
          <w:szCs w:val="24"/>
        </w:rPr>
        <w:t>Uslovi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treba da: </w:t>
      </w: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upisan u Centralni registar privrednih subjekata ili drugi odgovarajući registar u državi u kojoj privredni subjekat ima sjedište, </w:t>
      </w:r>
    </w:p>
    <w:p w:rsidR="00802436" w:rsidRDefault="00802436" w:rsidP="007974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posjeduje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ovlašćenje za obavljanje djelatnosti (dozvola, licenca, odobrenje ili drugi akt) u skladu sa zakonom.</w:t>
      </w: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75AF" w:rsidRPr="007974D5" w:rsidRDefault="00E275AF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Dokazivanje </w:t>
      </w:r>
      <w:r w:rsidRPr="007974D5">
        <w:rPr>
          <w:rFonts w:ascii="Arial" w:eastAsia="Times New Roman" w:hAnsi="Arial" w:cs="Arial"/>
          <w:b/>
          <w:sz w:val="24"/>
          <w:szCs w:val="24"/>
        </w:rPr>
        <w:t>uslova za obavljanje djelatnosti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obavljanje djelatnosti dokazuje se dostavljanjem: </w:t>
      </w:r>
    </w:p>
    <w:p w:rsidR="007974D5" w:rsidRDefault="00671F0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dokaza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o registraciji u Centralnom registru privrednih subjekata ili drugom odgovarajućem registru, sa podacima o ovlašćenom licu privrednog subjekta; </w:t>
      </w:r>
    </w:p>
    <w:p w:rsidR="00C50025" w:rsidRPr="00C50025" w:rsidRDefault="00C5002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ovlašćenje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za obavljanje djelatnosti  koja je predmet nabavke (dozvola, licenca, odobrenje ili drugi akt nadležnog organa za obavljanje djelatnosti koja je predmet nabavke)</w:t>
      </w: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Ponuđači su dužni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da </w:t>
      </w:r>
      <w:r w:rsidRPr="00177E84">
        <w:rPr>
          <w:rFonts w:ascii="Arial" w:eastAsia="Times New Roman" w:hAnsi="Arial" w:cs="Arial"/>
          <w:sz w:val="24"/>
          <w:szCs w:val="24"/>
        </w:rPr>
        <w:t xml:space="preserve"> dostave</w:t>
      </w:r>
      <w:proofErr w:type="gramEnd"/>
      <w:r w:rsidRPr="00177E84">
        <w:rPr>
          <w:rFonts w:ascii="Arial" w:eastAsia="Times New Roman" w:hAnsi="Arial" w:cs="Arial"/>
          <w:sz w:val="24"/>
          <w:szCs w:val="24"/>
        </w:rPr>
        <w:t xml:space="preserve"> sledeće dokaze (licence) izdate od Regulatorne agencije za energetiku</w:t>
      </w:r>
      <w:r w:rsidR="00300CBC">
        <w:rPr>
          <w:rFonts w:ascii="Arial" w:eastAsia="Times New Roman" w:hAnsi="Arial" w:cs="Arial"/>
          <w:sz w:val="24"/>
          <w:szCs w:val="24"/>
        </w:rPr>
        <w:t xml:space="preserve"> i regulisane komunalne djelatnosti</w:t>
      </w:r>
      <w:r w:rsidRPr="00177E84">
        <w:rPr>
          <w:rFonts w:ascii="Arial" w:eastAsia="Times New Roman" w:hAnsi="Arial" w:cs="Arial"/>
          <w:sz w:val="24"/>
          <w:szCs w:val="24"/>
        </w:rPr>
        <w:t>:</w:t>
      </w: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E84">
        <w:rPr>
          <w:rFonts w:ascii="Arial" w:eastAsia="Times New Roman" w:hAnsi="Arial" w:cs="Arial"/>
          <w:sz w:val="24"/>
          <w:szCs w:val="24"/>
        </w:rPr>
        <w:t xml:space="preserve">- Licencu za trgovinu </w:t>
      </w:r>
      <w:proofErr w:type="gramStart"/>
      <w:r w:rsidRPr="00177E84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177E84">
        <w:rPr>
          <w:rFonts w:ascii="Arial" w:eastAsia="Times New Roman" w:hAnsi="Arial" w:cs="Arial"/>
          <w:sz w:val="24"/>
          <w:szCs w:val="24"/>
        </w:rPr>
        <w:t xml:space="preserve"> malo naftnim derivatima </w:t>
      </w: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E84">
        <w:rPr>
          <w:rFonts w:ascii="Arial" w:eastAsia="Times New Roman" w:hAnsi="Arial" w:cs="Arial"/>
          <w:sz w:val="24"/>
          <w:szCs w:val="24"/>
        </w:rPr>
        <w:t>- Licencu za skladištenje nafte i naftnih derivata</w:t>
      </w:r>
    </w:p>
    <w:p w:rsid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7E84">
        <w:rPr>
          <w:rFonts w:ascii="Arial" w:eastAsia="Times New Roman" w:hAnsi="Arial" w:cs="Arial"/>
          <w:sz w:val="24"/>
          <w:szCs w:val="24"/>
        </w:rPr>
        <w:t>shodno</w:t>
      </w:r>
      <w:proofErr w:type="gramEnd"/>
      <w:r w:rsidRPr="00177E84">
        <w:rPr>
          <w:rFonts w:ascii="Arial" w:eastAsia="Times New Roman" w:hAnsi="Arial" w:cs="Arial"/>
          <w:sz w:val="24"/>
          <w:szCs w:val="24"/>
        </w:rPr>
        <w:t xml:space="preserve"> Zakonu o energetici </w:t>
      </w:r>
      <w:r w:rsidR="00300CBC" w:rsidRPr="00300CBC">
        <w:rPr>
          <w:rFonts w:ascii="Arial" w:eastAsia="Times New Roman" w:hAnsi="Arial" w:cs="Arial"/>
          <w:sz w:val="24"/>
          <w:szCs w:val="24"/>
        </w:rPr>
        <w:t>("Službeni list Crne Gore", br. 005/16 od 20.01.2016, 051/17 od 03.08.2017, 082/20 od 06.08.2020)</w:t>
      </w: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7E84">
        <w:rPr>
          <w:rFonts w:ascii="Arial" w:eastAsia="Times New Roman" w:hAnsi="Arial" w:cs="Arial"/>
          <w:sz w:val="24"/>
          <w:szCs w:val="24"/>
        </w:rPr>
        <w:t>ili</w:t>
      </w:r>
      <w:proofErr w:type="gramEnd"/>
      <w:r w:rsidRPr="00177E84">
        <w:rPr>
          <w:rFonts w:ascii="Arial" w:eastAsia="Times New Roman" w:hAnsi="Arial" w:cs="Arial"/>
          <w:sz w:val="24"/>
          <w:szCs w:val="24"/>
        </w:rPr>
        <w:t xml:space="preserve"> kada je riječ o ponuđačima kojima su licence izdate po ranij</w:t>
      </w:r>
      <w:r w:rsidR="00DE11C7">
        <w:rPr>
          <w:rFonts w:ascii="Arial" w:eastAsia="Times New Roman" w:hAnsi="Arial" w:cs="Arial"/>
          <w:sz w:val="24"/>
          <w:szCs w:val="24"/>
        </w:rPr>
        <w:t>e važećem Zakonu o energetici</w:t>
      </w:r>
      <w:r w:rsidRPr="00177E84">
        <w:rPr>
          <w:rFonts w:ascii="Arial" w:eastAsia="Times New Roman" w:hAnsi="Arial" w:cs="Arial"/>
          <w:sz w:val="24"/>
          <w:szCs w:val="24"/>
        </w:rPr>
        <w:t xml:space="preserve"> a koje licence važe do isteka roka na koji su izdate, neophodno je da isti dostave:</w:t>
      </w:r>
    </w:p>
    <w:p w:rsidR="00177E84" w:rsidRPr="00177E84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E84">
        <w:rPr>
          <w:rFonts w:ascii="Arial" w:eastAsia="Times New Roman" w:hAnsi="Arial" w:cs="Arial"/>
          <w:sz w:val="24"/>
          <w:szCs w:val="24"/>
        </w:rPr>
        <w:t>- Licence za prodaju i snadbijevanje naftnim derivatima</w:t>
      </w:r>
    </w:p>
    <w:p w:rsidR="007974D5" w:rsidRDefault="00177E84" w:rsidP="00177E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7E84">
        <w:rPr>
          <w:rFonts w:ascii="Arial" w:eastAsia="Times New Roman" w:hAnsi="Arial" w:cs="Arial"/>
          <w:sz w:val="24"/>
          <w:szCs w:val="24"/>
        </w:rPr>
        <w:t>- Licence za skladištenje i distribuciju naftnih derivata</w:t>
      </w:r>
    </w:p>
    <w:p w:rsidR="00C50025" w:rsidRPr="007974D5" w:rsidRDefault="00C5002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C. Osnovi za obavezno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isključiti iz postupka javne nabavke, ako: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postoji sukob interesa iz člana 41 stav 1 tačka 2 alineja 1 i 2 ili člana 42 Zakona o javnim nabavkama,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ispunjava obavezne uslove i uslove sposobnosti privrednog subjekta predviđene tenderskom dokumentacijom,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postoji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drugi razlog predviđen ovim zakonom.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4D5">
        <w:rPr>
          <w:rFonts w:ascii="Arial" w:eastAsia="Times New Roman" w:hAnsi="Arial" w:cs="Arial"/>
          <w:b/>
          <w:sz w:val="24"/>
          <w:szCs w:val="24"/>
        </w:rPr>
        <w:t>D. Posebni osnovi za isključenje iz postupka javne nabavke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Iz postupka javne nabavke isključiće se privredni subjekta koji: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 postupku stečaja ili likvidacije;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zaključio ugovor ili sporazum sa drugim privrednim subjektom sa ciljem narušavanja tržišne konkurencije;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ima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netačno prikazivao činjenice u vezi ispunjenosti uslova u postupku javne nabavke; </w:t>
      </w: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je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učinio teški profesionalni propust koji dovodi u pitanje njegov integritet.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87445" w:rsidRDefault="00C8744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C87445" w:rsidRPr="007974D5" w:rsidRDefault="00C8744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XIII Kriterijum za izbor najpovoljnije ponude: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71F07" w:rsidRPr="007974D5" w:rsidRDefault="00671F07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odnos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cijene i kvaliteta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Podnošenje ponuda u pisanoj formi: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Ponude se mogu podnijeti:</w:t>
      </w:r>
    </w:p>
    <w:p w:rsidR="007974D5" w:rsidRPr="007974D5" w:rsidRDefault="007974D5" w:rsidP="007974D5">
      <w:pPr>
        <w:numPr>
          <w:ilvl w:val="0"/>
          <w:numId w:val="2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neposrednom podnošenjem </w:t>
      </w:r>
      <w:r w:rsidR="00C1202D">
        <w:rPr>
          <w:rFonts w:ascii="Arial" w:eastAsia="Calibri" w:hAnsi="Arial" w:cs="Arial"/>
          <w:color w:val="000000"/>
          <w:sz w:val="24"/>
          <w:szCs w:val="24"/>
        </w:rPr>
        <w:t xml:space="preserve">na arhivi naručioca na adresi </w:t>
      </w:r>
      <w:r w:rsidR="00C1202D" w:rsidRPr="00C1202D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  <w:r w:rsidR="003F28D7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C1202D"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</w:p>
    <w:p w:rsidR="007974D5" w:rsidRPr="007974D5" w:rsidRDefault="007974D5" w:rsidP="007974D5">
      <w:pPr>
        <w:numPr>
          <w:ilvl w:val="0"/>
          <w:numId w:val="2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preporučenom pošiljkom sa povratnicom na adresi </w:t>
      </w:r>
      <w:r w:rsidR="003F28D7">
        <w:rPr>
          <w:rFonts w:ascii="Arial" w:hAnsi="Arial" w:cs="Arial"/>
          <w:color w:val="000000"/>
          <w:sz w:val="24"/>
          <w:szCs w:val="24"/>
          <w:lang w:val="pl-PL"/>
        </w:rPr>
        <w:t>Opština Bar,</w:t>
      </w:r>
      <w:r w:rsidR="00C1202D" w:rsidRPr="00C1202D">
        <w:rPr>
          <w:rFonts w:ascii="Arial" w:hAnsi="Arial" w:cs="Arial"/>
          <w:color w:val="000000"/>
          <w:sz w:val="24"/>
          <w:szCs w:val="24"/>
          <w:lang w:val="pl-PL"/>
        </w:rPr>
        <w:t xml:space="preserve"> Bulevar Revolucije br. 1, Bar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, s tim što ponuda mora biti uručena od strane poštanskog operatora najkasnije do roka određenog za podnošenje ponude,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radnim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danima od </w:t>
      </w:r>
      <w:r w:rsidR="003F28D7">
        <w:rPr>
          <w:rFonts w:ascii="Arial" w:eastAsia="Times New Roman" w:hAnsi="Arial" w:cs="Arial"/>
          <w:color w:val="000000"/>
          <w:sz w:val="24"/>
          <w:szCs w:val="24"/>
        </w:rPr>
        <w:t>08,00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3F28D7">
        <w:rPr>
          <w:rFonts w:ascii="Arial" w:eastAsia="Times New Roman" w:hAnsi="Arial" w:cs="Arial"/>
          <w:color w:val="000000"/>
          <w:sz w:val="24"/>
          <w:szCs w:val="24"/>
        </w:rPr>
        <w:t>14,00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 xml:space="preserve"> sati, zaključno sa danom 07.12</w:t>
      </w:r>
      <w:r w:rsidR="003146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A3FDC">
        <w:rPr>
          <w:rFonts w:ascii="Arial" w:eastAsia="Times New Roman" w:hAnsi="Arial" w:cs="Arial"/>
          <w:color w:val="000000"/>
          <w:sz w:val="24"/>
          <w:szCs w:val="24"/>
        </w:rPr>
        <w:t>2020.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r w:rsidR="003F28D7">
        <w:rPr>
          <w:rFonts w:ascii="Arial" w:eastAsia="Times New Roman" w:hAnsi="Arial" w:cs="Arial"/>
          <w:color w:val="000000"/>
          <w:sz w:val="24"/>
          <w:szCs w:val="24"/>
        </w:rPr>
        <w:t>11,00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sati.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dana  </w:t>
      </w:r>
      <w:r w:rsidR="00473489">
        <w:rPr>
          <w:rFonts w:ascii="Arial" w:eastAsia="Times New Roman" w:hAnsi="Arial" w:cs="Arial"/>
          <w:color w:val="000000"/>
          <w:sz w:val="24"/>
          <w:szCs w:val="24"/>
        </w:rPr>
        <w:t>07.12</w:t>
      </w:r>
      <w:r w:rsidR="003146E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A3FDC">
        <w:rPr>
          <w:rFonts w:ascii="Arial" w:eastAsia="Times New Roman" w:hAnsi="Arial" w:cs="Arial"/>
          <w:color w:val="000000"/>
          <w:sz w:val="24"/>
          <w:szCs w:val="24"/>
        </w:rPr>
        <w:t>2020</w:t>
      </w:r>
      <w:proofErr w:type="gramEnd"/>
      <w:r w:rsidR="00DA3FD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godine u </w:t>
      </w:r>
      <w:r w:rsidR="009C3BB7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9C3BB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30</w:t>
      </w:r>
      <w:r w:rsidR="003F28D7">
        <w:rPr>
          <w:rFonts w:ascii="Arial" w:eastAsia="Times New Roman" w:hAnsi="Arial" w:cs="Arial"/>
          <w:color w:val="000000"/>
          <w:sz w:val="24"/>
          <w:szCs w:val="24"/>
        </w:rPr>
        <w:t xml:space="preserve"> sati,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na adresi </w:t>
      </w:r>
      <w:r w:rsidR="00C1202D" w:rsidRPr="00C1202D">
        <w:rPr>
          <w:rFonts w:ascii="Arial" w:hAnsi="Arial" w:cs="Arial"/>
          <w:color w:val="000000"/>
          <w:sz w:val="24"/>
          <w:szCs w:val="24"/>
          <w:lang w:val="pl-PL"/>
        </w:rPr>
        <w:t>Opština Bar,</w:t>
      </w:r>
      <w:r w:rsidR="003F28D7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C1202D" w:rsidRPr="00C1202D">
        <w:rPr>
          <w:rFonts w:ascii="Arial" w:hAnsi="Arial" w:cs="Arial"/>
          <w:color w:val="000000"/>
          <w:sz w:val="24"/>
          <w:szCs w:val="24"/>
          <w:lang w:val="pl-PL"/>
        </w:rPr>
        <w:t>Bulevar Revolucije br. 1, mala sala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974D5" w:rsidRPr="007974D5" w:rsidRDefault="007974D5" w:rsidP="00C120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Rok važenja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Rok važenja ponude je </w:t>
      </w:r>
      <w:r w:rsidR="00594B15" w:rsidRPr="00594B15">
        <w:rPr>
          <w:rFonts w:ascii="Arial" w:eastAsia="Times New Roman" w:hAnsi="Arial" w:cs="Arial"/>
          <w:b/>
          <w:sz w:val="24"/>
          <w:szCs w:val="24"/>
        </w:rPr>
        <w:t>120</w:t>
      </w:r>
      <w:r w:rsidRPr="00594B1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594B15">
        <w:rPr>
          <w:rFonts w:ascii="Arial" w:eastAsia="Times New Roman" w:hAnsi="Arial" w:cs="Arial"/>
          <w:b/>
          <w:sz w:val="24"/>
          <w:szCs w:val="24"/>
        </w:rPr>
        <w:t>dana</w:t>
      </w:r>
      <w:proofErr w:type="gramEnd"/>
      <w:r w:rsidRPr="00594B15">
        <w:rPr>
          <w:rFonts w:ascii="Arial" w:eastAsia="Times New Roman" w:hAnsi="Arial" w:cs="Arial"/>
          <w:sz w:val="24"/>
          <w:szCs w:val="24"/>
        </w:rPr>
        <w:t xml:space="preserve"> </w:t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>od dana otvaranja ponuda.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Garancija ponude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C1202D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da</w:t>
      </w:r>
      <w:proofErr w:type="gramEnd"/>
    </w:p>
    <w:p w:rsidR="007974D5" w:rsidRPr="007974D5" w:rsidRDefault="007974D5" w:rsidP="007974D5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Ponuđač je dužan dostaviti bezuslovnu i </w:t>
      </w:r>
      <w:proofErr w:type="gramStart"/>
      <w:r w:rsidRPr="007974D5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Calibri" w:hAnsi="Arial" w:cs="Arial"/>
          <w:color w:val="000000"/>
          <w:sz w:val="24"/>
          <w:szCs w:val="24"/>
        </w:rPr>
        <w:t xml:space="preserve"> prvi poziv naplativu garanciju ponude u iznosu od 2 % procijenjene vrijednosti javne nabavke, kao garanciju ostajanja u obavezi prema ponudi u periodu važenja ponude </w:t>
      </w:r>
      <w:r w:rsidR="00621CB2">
        <w:rPr>
          <w:rFonts w:ascii="Arial" w:eastAsia="Calibri" w:hAnsi="Arial" w:cs="Arial"/>
          <w:color w:val="000000"/>
          <w:sz w:val="24"/>
          <w:szCs w:val="24"/>
        </w:rPr>
        <w:t xml:space="preserve">i 7 </w:t>
      </w:r>
      <w:r w:rsidRPr="007974D5">
        <w:rPr>
          <w:rFonts w:ascii="Arial" w:eastAsia="Calibri" w:hAnsi="Arial" w:cs="Arial"/>
          <w:color w:val="000000"/>
          <w:sz w:val="24"/>
          <w:szCs w:val="24"/>
        </w:rPr>
        <w:t>dana nakon isteka važenja ponude.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Garancija ponude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se aktivirati ako ponuđač: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odustane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od ponude u roku važenja ponude;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2)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dostavi zahtijevane dokaze prije potpisivanja ugovora;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3)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odbije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da potpiše ugovor o javnoj nabavci ili okvirni sporazum; ili </w:t>
      </w:r>
    </w:p>
    <w:p w:rsid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4)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u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izjavi privrednog subjekta navede netačne činjenice o ispunjenosti uslova iz člana 111 stav 4 Zakona o javnim nabavkama.</w:t>
      </w:r>
    </w:p>
    <w:p w:rsidR="00C87445" w:rsidRDefault="00C8744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7445" w:rsidRPr="007974D5" w:rsidRDefault="00C8744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XVII Tajnost podataka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73E76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ne</w:t>
      </w:r>
      <w:proofErr w:type="gramEnd"/>
    </w:p>
    <w:p w:rsidR="00BE7B7E" w:rsidRDefault="00BE7B7E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8E7" w:rsidRDefault="008538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8E7" w:rsidRPr="007974D5" w:rsidRDefault="008538E7" w:rsidP="008538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ind w:left="36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Toc44578271"/>
      <w:bookmarkStart w:id="3" w:name="_Toc54001454"/>
      <w:bookmarkStart w:id="4" w:name="_Toc54003125"/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TEHNIČKA SPECIFIKACIJA PREDMETA JAVNE NABAVKE</w:t>
      </w:r>
      <w:bookmarkEnd w:id="2"/>
      <w:bookmarkEnd w:id="3"/>
      <w:bookmarkEnd w:id="4"/>
    </w:p>
    <w:p w:rsidR="00B450EF" w:rsidRDefault="00B450EF" w:rsidP="00DD5BB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796"/>
        <w:gridCol w:w="2938"/>
        <w:gridCol w:w="3714"/>
        <w:gridCol w:w="1177"/>
        <w:gridCol w:w="1251"/>
      </w:tblGrid>
      <w:tr w:rsidR="00F46507" w:rsidRPr="00F46507" w:rsidTr="00DD5BB7">
        <w:trPr>
          <w:trHeight w:val="30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07" w:rsidRPr="006D2903" w:rsidRDefault="00F46507" w:rsidP="00DD5BB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D2903">
              <w:rPr>
                <w:rFonts w:ascii="Arial" w:eastAsia="Times New Roman" w:hAnsi="Arial" w:cs="Arial"/>
                <w:b/>
                <w:sz w:val="24"/>
              </w:rPr>
              <w:t>R.b.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07" w:rsidRPr="006D2903" w:rsidRDefault="00F46507" w:rsidP="00DD5BB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D2903">
              <w:rPr>
                <w:rFonts w:ascii="Arial" w:eastAsia="Times New Roman" w:hAnsi="Arial" w:cs="Arial"/>
                <w:b/>
                <w:sz w:val="24"/>
              </w:rPr>
              <w:t>Opis predmeta nabavke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07" w:rsidRPr="006D2903" w:rsidRDefault="00F46507" w:rsidP="00DD5BB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D2903">
              <w:rPr>
                <w:rFonts w:ascii="Arial" w:eastAsia="Times New Roman" w:hAnsi="Arial" w:cs="Arial"/>
                <w:b/>
                <w:sz w:val="24"/>
              </w:rPr>
              <w:t>Bitne karakteristike predmeta nabavke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07" w:rsidRPr="006D2903" w:rsidRDefault="00F46507" w:rsidP="00DD5BB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D2903">
              <w:rPr>
                <w:rFonts w:ascii="Arial" w:eastAsia="Times New Roman" w:hAnsi="Arial" w:cs="Arial"/>
                <w:b/>
                <w:sz w:val="24"/>
              </w:rPr>
              <w:t>Jedinica mjere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507" w:rsidRPr="006D2903" w:rsidRDefault="00F46507" w:rsidP="00DD5BB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6D2903">
              <w:rPr>
                <w:rFonts w:ascii="Arial" w:eastAsia="Times New Roman" w:hAnsi="Arial" w:cs="Arial"/>
                <w:b/>
                <w:sz w:val="24"/>
              </w:rPr>
              <w:t>Količina</w:t>
            </w:r>
          </w:p>
        </w:tc>
      </w:tr>
      <w:tr w:rsidR="00177E84" w:rsidRPr="00F46507" w:rsidTr="003E5B9C">
        <w:trPr>
          <w:trHeight w:val="44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177E84" w:rsidP="008F26A4">
            <w:pPr>
              <w:numPr>
                <w:ilvl w:val="0"/>
                <w:numId w:val="8"/>
              </w:numPr>
              <w:spacing w:after="0" w:line="2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Gorivo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Eurodizel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litar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AD16EE" w:rsidP="00AD16E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9.530</w:t>
            </w:r>
          </w:p>
        </w:tc>
      </w:tr>
      <w:tr w:rsidR="00177E84" w:rsidRPr="00F46507" w:rsidTr="004271D7">
        <w:trPr>
          <w:trHeight w:val="243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177E84" w:rsidP="008F26A4">
            <w:pPr>
              <w:numPr>
                <w:ilvl w:val="0"/>
                <w:numId w:val="8"/>
              </w:numPr>
              <w:spacing w:after="0" w:line="20" w:lineRule="atLeas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Gorivo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Eurosuper 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84" w:rsidRPr="00177E84" w:rsidRDefault="00177E84" w:rsidP="007F0E92">
            <w:pPr>
              <w:rPr>
                <w:rFonts w:ascii="Arial" w:hAnsi="Arial" w:cs="Arial"/>
                <w:sz w:val="24"/>
              </w:rPr>
            </w:pPr>
            <w:r w:rsidRPr="00177E84">
              <w:rPr>
                <w:rFonts w:ascii="Arial" w:hAnsi="Arial" w:cs="Arial"/>
                <w:sz w:val="24"/>
              </w:rPr>
              <w:t>litar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84" w:rsidRPr="004271D7" w:rsidRDefault="004271D7" w:rsidP="0024454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27.179</w:t>
            </w:r>
          </w:p>
        </w:tc>
      </w:tr>
    </w:tbl>
    <w:p w:rsidR="00132545" w:rsidRPr="00E275AF" w:rsidRDefault="00275C5D" w:rsidP="00E275AF">
      <w:r w:rsidRPr="00275C5D">
        <w:rPr>
          <w:rFonts w:ascii="Arial" w:hAnsi="Arial" w:cs="Arial"/>
          <w:b/>
          <w:sz w:val="24"/>
          <w:szCs w:val="24"/>
        </w:rPr>
        <w:t xml:space="preserve">               </w:t>
      </w:r>
      <w:r w:rsidR="00E275AF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655976" w:rsidRPr="00AD2D82" w:rsidRDefault="00132545" w:rsidP="001325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AD2D8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Napomena: </w:t>
      </w:r>
    </w:p>
    <w:p w:rsidR="00A46967" w:rsidRPr="00A46967" w:rsidRDefault="00A46967" w:rsidP="00A46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967" w:rsidRPr="00A46967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967">
        <w:rPr>
          <w:rFonts w:ascii="Arial" w:hAnsi="Arial" w:cs="Arial"/>
          <w:color w:val="000000"/>
          <w:sz w:val="24"/>
          <w:szCs w:val="24"/>
        </w:rPr>
        <w:t xml:space="preserve">Ponuđač je u obavezi da posjeduju benzijske stanice </w:t>
      </w:r>
      <w:proofErr w:type="gramStart"/>
      <w:r w:rsidRPr="00A46967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A46967">
        <w:rPr>
          <w:rFonts w:ascii="Arial" w:hAnsi="Arial" w:cs="Arial"/>
          <w:color w:val="000000"/>
          <w:sz w:val="24"/>
          <w:szCs w:val="24"/>
        </w:rPr>
        <w:t xml:space="preserve"> sljedećim lokacijama – Bar, Herceg Novi, Podgorica, Nikšić, Pljevlja i Bijelo Polje.</w:t>
      </w:r>
    </w:p>
    <w:p w:rsidR="00A46967" w:rsidRPr="00A46967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6967" w:rsidRPr="00A46967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967">
        <w:rPr>
          <w:rFonts w:ascii="Arial" w:hAnsi="Arial" w:cs="Arial"/>
          <w:color w:val="000000"/>
          <w:sz w:val="24"/>
          <w:szCs w:val="24"/>
        </w:rPr>
        <w:t xml:space="preserve">S obzirom da je Uredbom o načinu obrazovanja maksimalnih maloprodajnih cijena naftnih derivata (“Sl.list RCG”, br. 52/02, 55/02, 23/03, 32/05, 35/05, “Službeni list Crne Gore, br. 73/08, 73/10, 18/15 i 63/15), u članu 5, propisano da se maksimalne cijene goriva u Crnoj Gori obračunavaju prvog ponedeljka koji je radni dan ili sljedećeg radnog dana ukoliko ponedjeljak nije radni dan i koji slijedi datumu donošenja Uredbe, a nakon toga svaki 14-ti dan (tj. </w:t>
      </w:r>
      <w:proofErr w:type="gramStart"/>
      <w:r w:rsidRPr="00A46967">
        <w:rPr>
          <w:rFonts w:ascii="Arial" w:hAnsi="Arial" w:cs="Arial"/>
          <w:color w:val="000000"/>
          <w:sz w:val="24"/>
          <w:szCs w:val="24"/>
        </w:rPr>
        <w:t>biće</w:t>
      </w:r>
      <w:proofErr w:type="gramEnd"/>
      <w:r w:rsidRPr="00A46967">
        <w:rPr>
          <w:rFonts w:ascii="Arial" w:hAnsi="Arial" w:cs="Arial"/>
          <w:color w:val="000000"/>
          <w:sz w:val="24"/>
          <w:szCs w:val="24"/>
        </w:rPr>
        <w:t xml:space="preserve"> preračunat u ponedeljak, dvije sedmice unaprijed i tako dalje svakog narednog alternativnog ponedjeljka) nabavka će se vršiti godinu dana od dana zaključenja ugovora.</w:t>
      </w:r>
    </w:p>
    <w:p w:rsidR="00AB778F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967">
        <w:rPr>
          <w:rFonts w:ascii="Arial" w:hAnsi="Arial" w:cs="Arial"/>
          <w:color w:val="000000"/>
          <w:sz w:val="24"/>
          <w:szCs w:val="24"/>
        </w:rPr>
        <w:t xml:space="preserve">Kvalitet naftnih proizvoda i goriva: dizel goriva i benzina, mora biti u skladu sa Uredbom o graničnim vrijednostima sadržaja zagađujućih materija u tečnim gorivima naftnog </w:t>
      </w:r>
      <w:proofErr w:type="gramStart"/>
      <w:r w:rsidRPr="00A46967">
        <w:rPr>
          <w:rFonts w:ascii="Arial" w:hAnsi="Arial" w:cs="Arial"/>
          <w:color w:val="000000"/>
          <w:sz w:val="24"/>
          <w:szCs w:val="24"/>
        </w:rPr>
        <w:t>porijekla  (</w:t>
      </w:r>
      <w:proofErr w:type="gramEnd"/>
      <w:r w:rsidRPr="00A46967">
        <w:rPr>
          <w:rFonts w:ascii="Arial" w:hAnsi="Arial" w:cs="Arial"/>
          <w:color w:val="000000"/>
          <w:sz w:val="24"/>
          <w:szCs w:val="24"/>
        </w:rPr>
        <w:t>»Sl.list CG« br. 017/17).</w:t>
      </w:r>
    </w:p>
    <w:p w:rsidR="00AB778F" w:rsidRDefault="00AB778F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778F" w:rsidRDefault="00AB778F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778F">
        <w:rPr>
          <w:rFonts w:ascii="Arial" w:hAnsi="Arial" w:cs="Arial"/>
          <w:color w:val="000000"/>
          <w:sz w:val="24"/>
          <w:szCs w:val="24"/>
        </w:rPr>
        <w:t>Garancije kvaliteta: Izvještaj o ispitivanju kvaliteta goriva.</w:t>
      </w:r>
    </w:p>
    <w:p w:rsidR="00AB778F" w:rsidRPr="00A46967" w:rsidRDefault="00AB778F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6967" w:rsidRPr="00A46967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46967">
        <w:rPr>
          <w:rFonts w:ascii="Arial" w:hAnsi="Arial" w:cs="Arial"/>
          <w:color w:val="000000"/>
          <w:sz w:val="24"/>
          <w:szCs w:val="24"/>
        </w:rPr>
        <w:t>Potrebno je da ponuđač u svojoj ponudi dostavi sljedeću dokumentaciju:</w:t>
      </w:r>
    </w:p>
    <w:p w:rsidR="00A46967" w:rsidRPr="00AD693D" w:rsidRDefault="00AD693D" w:rsidP="00AD693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6967" w:rsidRPr="00AD693D">
        <w:rPr>
          <w:rFonts w:ascii="Arial" w:hAnsi="Arial" w:cs="Arial"/>
          <w:color w:val="000000"/>
          <w:sz w:val="24"/>
          <w:szCs w:val="24"/>
        </w:rPr>
        <w:t xml:space="preserve">Izjavu ponuđača kojom se obavezuje da </w:t>
      </w:r>
      <w:proofErr w:type="gramStart"/>
      <w:r w:rsidR="00A46967" w:rsidRPr="00AD693D">
        <w:rPr>
          <w:rFonts w:ascii="Arial" w:hAnsi="Arial" w:cs="Arial"/>
          <w:color w:val="000000"/>
          <w:sz w:val="24"/>
          <w:szCs w:val="24"/>
        </w:rPr>
        <w:t>će</w:t>
      </w:r>
      <w:proofErr w:type="gramEnd"/>
      <w:r w:rsidR="00A46967" w:rsidRPr="00AD693D">
        <w:rPr>
          <w:rFonts w:ascii="Arial" w:hAnsi="Arial" w:cs="Arial"/>
          <w:color w:val="000000"/>
          <w:sz w:val="24"/>
          <w:szCs w:val="24"/>
        </w:rPr>
        <w:t xml:space="preserve"> isporuku goriva vršiti svakodnevno na benzinskim stanicama u sljedećim opštinama u Crnoj Gori: Bar, Herceg Novi, Podgorica, Nikšić, Pljevlja i Bijelo Polje;</w:t>
      </w:r>
    </w:p>
    <w:p w:rsidR="00A46967" w:rsidRPr="00A46967" w:rsidRDefault="00AD693D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6967" w:rsidRPr="00A46967">
        <w:rPr>
          <w:rFonts w:ascii="Arial" w:hAnsi="Arial" w:cs="Arial"/>
          <w:color w:val="000000"/>
          <w:sz w:val="24"/>
          <w:szCs w:val="24"/>
        </w:rPr>
        <w:t xml:space="preserve">Izjavu ponuđača da </w:t>
      </w:r>
      <w:proofErr w:type="gramStart"/>
      <w:r w:rsidR="00A46967" w:rsidRPr="00A46967">
        <w:rPr>
          <w:rFonts w:ascii="Arial" w:hAnsi="Arial" w:cs="Arial"/>
          <w:color w:val="000000"/>
          <w:sz w:val="24"/>
          <w:szCs w:val="24"/>
        </w:rPr>
        <w:t>će</w:t>
      </w:r>
      <w:proofErr w:type="gramEnd"/>
      <w:r w:rsidR="00A46967" w:rsidRPr="00A46967">
        <w:rPr>
          <w:rFonts w:ascii="Arial" w:hAnsi="Arial" w:cs="Arial"/>
          <w:color w:val="000000"/>
          <w:sz w:val="24"/>
          <w:szCs w:val="24"/>
        </w:rPr>
        <w:t xml:space="preserve"> se tokom ugovorenog perioda promjena cijena usaglašavati sa Uredbom o načinu obrazovanja maksimalnih maloprodajnih cijena naftnih derivata (“Službeni list RCG, br. 52/02, 55/02, 23/03, 32/05, 35/05, “Službeni list Crne Gore, br. 73/08, 73/10, 18/15 i 63/15).</w:t>
      </w:r>
    </w:p>
    <w:p w:rsidR="00A46967" w:rsidRPr="00A46967" w:rsidRDefault="00AD693D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A46967" w:rsidRPr="00A46967">
        <w:rPr>
          <w:rFonts w:ascii="Arial" w:hAnsi="Arial" w:cs="Arial"/>
          <w:color w:val="000000"/>
          <w:sz w:val="24"/>
          <w:szCs w:val="24"/>
        </w:rPr>
        <w:t>Izjavu ponuđača kojom se obavezuje:</w:t>
      </w:r>
    </w:p>
    <w:p w:rsidR="00A46967" w:rsidRPr="00AD693D" w:rsidRDefault="00A46967" w:rsidP="008F26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693D">
        <w:rPr>
          <w:rFonts w:ascii="Arial" w:hAnsi="Arial" w:cs="Arial"/>
          <w:color w:val="000000"/>
          <w:sz w:val="24"/>
          <w:szCs w:val="24"/>
        </w:rPr>
        <w:t>da će obezbijediti točenje goriva putem limitiranih kartica;</w:t>
      </w:r>
    </w:p>
    <w:p w:rsidR="00A46967" w:rsidRPr="00AD693D" w:rsidRDefault="00A46967" w:rsidP="008F26A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693D">
        <w:rPr>
          <w:rFonts w:ascii="Arial" w:hAnsi="Arial" w:cs="Arial"/>
          <w:color w:val="000000"/>
          <w:sz w:val="24"/>
          <w:szCs w:val="24"/>
        </w:rPr>
        <w:lastRenderedPageBreak/>
        <w:t>da će o svom trošku izraditi kartice za točenje goriva;</w:t>
      </w:r>
      <w:r w:rsidRPr="00AD693D">
        <w:rPr>
          <w:rFonts w:ascii="Arial" w:hAnsi="Arial" w:cs="Arial"/>
          <w:color w:val="000000"/>
          <w:sz w:val="24"/>
          <w:szCs w:val="24"/>
        </w:rPr>
        <w:tab/>
      </w:r>
    </w:p>
    <w:p w:rsidR="00A46967" w:rsidRPr="00A46967" w:rsidRDefault="00A46967" w:rsidP="00A4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67BD" w:rsidRPr="00A46967" w:rsidRDefault="00A46967" w:rsidP="00A46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6967">
        <w:rPr>
          <w:rFonts w:ascii="Arial" w:hAnsi="Arial" w:cs="Arial"/>
          <w:color w:val="000000"/>
          <w:sz w:val="24"/>
          <w:szCs w:val="24"/>
        </w:rPr>
        <w:t>Sve zahtijevane izjave moraju biti svojeručno potpisane od strane ovlašćenog lica ponuđača i ovjerene pečatom ponuđača</w:t>
      </w:r>
      <w:proofErr w:type="gramStart"/>
      <w:r w:rsidRPr="00A46967">
        <w:rPr>
          <w:rFonts w:ascii="Arial" w:hAnsi="Arial" w:cs="Arial"/>
          <w:color w:val="000000"/>
          <w:sz w:val="24"/>
          <w:szCs w:val="24"/>
        </w:rPr>
        <w:t>.</w:t>
      </w:r>
      <w:r w:rsidR="00FA67BD" w:rsidRPr="00A46967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8538E7" w:rsidRDefault="008538E7" w:rsidP="008538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Zahtjevi u pogledu načina izvršavanja predmeta nabavke koji su </w:t>
      </w:r>
      <w:proofErr w:type="gramStart"/>
      <w:r w:rsidRPr="007974D5">
        <w:rPr>
          <w:rFonts w:ascii="Arial" w:eastAsia="Times New Roman" w:hAnsi="Arial" w:cs="Arial"/>
          <w:b/>
          <w:i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b/>
          <w:i/>
          <w:sz w:val="24"/>
          <w:szCs w:val="24"/>
        </w:rPr>
        <w:t xml:space="preserve"> značaja za sačinjavanje ponude i izvršenje ugovora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46967" w:rsidRPr="00A46967" w:rsidRDefault="005E46FB" w:rsidP="00A46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 </w:t>
      </w:r>
      <w:r w:rsidR="003C4644" w:rsidRPr="00204E36">
        <w:rPr>
          <w:rFonts w:ascii="Arial" w:eastAsia="Times New Roman" w:hAnsi="Arial" w:cs="Arial"/>
          <w:sz w:val="24"/>
          <w:szCs w:val="24"/>
        </w:rPr>
        <w:t xml:space="preserve">Rok </w:t>
      </w:r>
      <w:r w:rsidR="00BC4665" w:rsidRPr="00204E36">
        <w:rPr>
          <w:rFonts w:ascii="Arial" w:eastAsia="Times New Roman" w:hAnsi="Arial" w:cs="Arial"/>
          <w:sz w:val="24"/>
          <w:szCs w:val="24"/>
        </w:rPr>
        <w:t>izvršenja ugovora</w:t>
      </w:r>
      <w:r w:rsidR="00A46967">
        <w:rPr>
          <w:rFonts w:ascii="Arial" w:eastAsia="Times New Roman" w:hAnsi="Arial" w:cs="Arial"/>
          <w:sz w:val="24"/>
          <w:szCs w:val="24"/>
        </w:rPr>
        <w:t>:</w:t>
      </w:r>
      <w:r w:rsidR="00BC4665" w:rsidRPr="00204E36">
        <w:rPr>
          <w:rFonts w:ascii="Arial" w:eastAsia="Times New Roman" w:hAnsi="Arial" w:cs="Arial"/>
          <w:sz w:val="24"/>
          <w:szCs w:val="24"/>
        </w:rPr>
        <w:t xml:space="preserve"> </w:t>
      </w:r>
      <w:r w:rsidR="00A46967" w:rsidRPr="00A46967">
        <w:rPr>
          <w:rFonts w:ascii="Arial" w:eastAsia="Times New Roman" w:hAnsi="Arial" w:cs="Arial"/>
          <w:sz w:val="24"/>
          <w:szCs w:val="24"/>
        </w:rPr>
        <w:t xml:space="preserve">je godinu </w:t>
      </w:r>
      <w:proofErr w:type="gramStart"/>
      <w:r w:rsidR="00A46967" w:rsidRPr="00A46967">
        <w:rPr>
          <w:rFonts w:ascii="Arial" w:eastAsia="Times New Roman" w:hAnsi="Arial" w:cs="Arial"/>
          <w:sz w:val="24"/>
          <w:szCs w:val="24"/>
        </w:rPr>
        <w:t>dana</w:t>
      </w:r>
      <w:proofErr w:type="gramEnd"/>
      <w:r w:rsidR="00A46967" w:rsidRPr="00A46967">
        <w:rPr>
          <w:rFonts w:ascii="Arial" w:eastAsia="Times New Roman" w:hAnsi="Arial" w:cs="Arial"/>
          <w:sz w:val="24"/>
          <w:szCs w:val="24"/>
        </w:rPr>
        <w:t xml:space="preserve"> od dana zaključivanja ugovora.</w:t>
      </w:r>
    </w:p>
    <w:p w:rsidR="00A46967" w:rsidRDefault="00A46967" w:rsidP="00A46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967">
        <w:rPr>
          <w:rFonts w:ascii="Arial" w:eastAsia="Times New Roman" w:hAnsi="Arial" w:cs="Arial"/>
          <w:sz w:val="24"/>
          <w:szCs w:val="24"/>
        </w:rPr>
        <w:t xml:space="preserve">Isporuka </w:t>
      </w:r>
      <w:proofErr w:type="gramStart"/>
      <w:r w:rsidRPr="00A46967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A46967">
        <w:rPr>
          <w:rFonts w:ascii="Arial" w:eastAsia="Times New Roman" w:hAnsi="Arial" w:cs="Arial"/>
          <w:sz w:val="24"/>
          <w:szCs w:val="24"/>
        </w:rPr>
        <w:t xml:space="preserve"> se vršiti sukcesivno, zavisno od potreba naručioca.</w:t>
      </w:r>
    </w:p>
    <w:p w:rsidR="007974D5" w:rsidRPr="007974D5" w:rsidRDefault="005E46FB" w:rsidP="00A469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>Mjesto izvršenja ugovora je</w:t>
      </w:r>
      <w:r w:rsidR="00A4696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6967" w:rsidRPr="00A46967">
        <w:rPr>
          <w:rFonts w:ascii="Arial" w:eastAsia="Times New Roman" w:hAnsi="Arial" w:cs="Arial"/>
          <w:color w:val="000000"/>
          <w:sz w:val="24"/>
          <w:szCs w:val="24"/>
        </w:rPr>
        <w:t>su benzinske pumpe u Crnoj Gori: Bar, Herceg Novi, Podgorica, Nikšić, Pljevlja i Bijelo Polje</w:t>
      </w:r>
      <w:r w:rsidR="00AD2D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62EF1" w:rsidRPr="00E81D12" w:rsidRDefault="005E46FB" w:rsidP="00A469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Calibri" w:hAnsi="Arial" w:cs="Arial"/>
          <w:color w:val="000000"/>
          <w:sz w:val="24"/>
          <w:szCs w:val="24"/>
        </w:rPr>
        <w:t xml:space="preserve"> Rok plaćanja je</w:t>
      </w:r>
      <w:r w:rsidR="007974D5" w:rsidRPr="00E81D12">
        <w:rPr>
          <w:rFonts w:ascii="Arial" w:eastAsia="Calibri" w:hAnsi="Arial" w:cs="Arial"/>
          <w:sz w:val="24"/>
          <w:szCs w:val="24"/>
        </w:rPr>
        <w:t xml:space="preserve">: </w:t>
      </w:r>
      <w:r w:rsidR="00A46967" w:rsidRPr="00E81D12">
        <w:rPr>
          <w:rFonts w:ascii="Arial" w:hAnsi="Arial" w:cs="Arial"/>
          <w:sz w:val="24"/>
          <w:szCs w:val="24"/>
          <w:lang w:val="pl-PL"/>
        </w:rPr>
        <w:t xml:space="preserve">Plaćanje se vrši </w:t>
      </w:r>
      <w:proofErr w:type="gramStart"/>
      <w:r w:rsidR="00A46967" w:rsidRPr="00E81D12">
        <w:rPr>
          <w:rFonts w:ascii="Arial" w:hAnsi="Arial" w:cs="Arial"/>
          <w:sz w:val="24"/>
          <w:szCs w:val="24"/>
          <w:lang w:val="pl-PL"/>
        </w:rPr>
        <w:t>na</w:t>
      </w:r>
      <w:proofErr w:type="gramEnd"/>
      <w:r w:rsidR="00A46967" w:rsidRPr="00E81D12">
        <w:rPr>
          <w:rFonts w:ascii="Arial" w:hAnsi="Arial" w:cs="Arial"/>
          <w:sz w:val="24"/>
          <w:szCs w:val="24"/>
          <w:lang w:val="pl-PL"/>
        </w:rPr>
        <w:t xml:space="preserve"> osnovu zbirnog naloga za plaćanje koji će biti plaćen najkasnije do 15-og u narednom mjesecu</w:t>
      </w:r>
      <w:r w:rsidR="00D16B58" w:rsidRPr="00E81D12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46967" w:rsidRDefault="00AB778F" w:rsidP="00A4696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5E46FB">
        <w:rPr>
          <w:rFonts w:ascii="Arial" w:eastAsia="Calibri" w:hAnsi="Arial" w:cs="Arial"/>
          <w:color w:val="000000"/>
          <w:sz w:val="24"/>
          <w:szCs w:val="24"/>
        </w:rPr>
        <w:t xml:space="preserve"> Način plaćanja je: </w:t>
      </w:r>
      <w:r>
        <w:rPr>
          <w:rFonts w:ascii="Arial" w:hAnsi="Arial" w:cs="Arial"/>
          <w:sz w:val="24"/>
          <w:szCs w:val="24"/>
        </w:rPr>
        <w:t>Virmanski.</w:t>
      </w:r>
    </w:p>
    <w:p w:rsidR="007974D5" w:rsidRPr="00AB778F" w:rsidRDefault="00D16B58" w:rsidP="00A4696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Uslovi plaćanja: </w:t>
      </w:r>
      <w:r w:rsidRPr="00D16B58">
        <w:rPr>
          <w:rFonts w:ascii="Arial" w:hAnsi="Arial" w:cs="Arial"/>
          <w:color w:val="000000"/>
          <w:sz w:val="24"/>
          <w:szCs w:val="24"/>
        </w:rPr>
        <w:t>prihvatanje ispostavljane fakture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D2D82" w:rsidRDefault="00D16B58" w:rsidP="005E46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Način sporovođenja kontrole kvaliteta:</w:t>
      </w:r>
      <w:r w:rsidR="00AB778F">
        <w:rPr>
          <w:rFonts w:ascii="Arial" w:hAnsi="Arial" w:cs="Arial"/>
          <w:color w:val="000000"/>
          <w:sz w:val="24"/>
          <w:szCs w:val="24"/>
        </w:rPr>
        <w:t xml:space="preserve"> Ponuđač je u obavezi da dostavi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16B58">
        <w:rPr>
          <w:rFonts w:ascii="Arial" w:hAnsi="Arial" w:cs="Arial"/>
          <w:color w:val="000000"/>
          <w:sz w:val="24"/>
          <w:szCs w:val="24"/>
        </w:rPr>
        <w:t xml:space="preserve">Izvještaj o ispitivanju kvaliteta goriva koji potvrđuje da je kvalitet u skladu </w:t>
      </w:r>
      <w:proofErr w:type="gramStart"/>
      <w:r w:rsidRPr="00D16B58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D16B58">
        <w:rPr>
          <w:rFonts w:ascii="Arial" w:hAnsi="Arial" w:cs="Arial"/>
          <w:color w:val="000000"/>
          <w:sz w:val="24"/>
          <w:szCs w:val="24"/>
        </w:rPr>
        <w:t xml:space="preserve"> Uredbom o graničnim vrijednostima sadržaja zagađujućih materija u tečnim gorivima naftnog porijekla (»Sl. list RCG«, 017/17).</w:t>
      </w:r>
    </w:p>
    <w:p w:rsidR="00AB778F" w:rsidRPr="00D16B58" w:rsidRDefault="00AB778F" w:rsidP="005E4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4D5" w:rsidRPr="007974D5" w:rsidRDefault="005E46FB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Ponuđač snosi troškove naknade korišćenja patenata i odgovoran je za povredu zaštićenih prava intelektualne svojine trećih lica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SREDSTVA FINANSIJSKOG OBEZBJEĐENJA UGOVORA O JAVNOJ NABAVCI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7974D5" w:rsidRPr="007C2F3D" w:rsidRDefault="00B657F9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garanciju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za dobro izvršenje ugovora, za slučaj povrede ugovorenih obaveza 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 iznosu od </w:t>
      </w:r>
      <w:r w:rsidR="005E46FB">
        <w:rPr>
          <w:rFonts w:ascii="Arial" w:eastAsia="Times New Roman" w:hAnsi="Arial" w:cs="Arial"/>
          <w:color w:val="000000"/>
          <w:sz w:val="24"/>
          <w:szCs w:val="24"/>
        </w:rPr>
        <w:t>5%</w:t>
      </w:r>
      <w:r w:rsidR="007974D5"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 vrijednosti ugovora</w:t>
      </w:r>
      <w:r w:rsidR="007974D5" w:rsidRPr="007974D5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" w:name="_Toc44578272"/>
      <w:bookmarkStart w:id="6" w:name="_Toc54001456"/>
      <w:bookmarkStart w:id="7" w:name="_Toc54003126"/>
      <w:r w:rsidRPr="007974D5">
        <w:rPr>
          <w:rFonts w:ascii="Arial" w:eastAsia="Times New Roman" w:hAnsi="Arial" w:cs="Arial"/>
          <w:b/>
          <w:bCs/>
          <w:sz w:val="24"/>
          <w:szCs w:val="24"/>
        </w:rPr>
        <w:t>METODOLOGIJA VREDNOVANJA PONUDA</w:t>
      </w:r>
      <w:bookmarkEnd w:id="5"/>
      <w:bookmarkEnd w:id="6"/>
      <w:bookmarkEnd w:id="7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Naručilac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će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u postupku javne nabavki izabrati ekonomski najpovoljniju ponudu, primjenom pristupa isplativosti, po osnovu kriterijuma: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2B70" w:rsidRPr="00AE0047" w:rsidRDefault="004D5D0E" w:rsidP="00AE00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7974D5" w:rsidRPr="007974D5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="007974D5" w:rsidRPr="007974D5">
        <w:rPr>
          <w:rFonts w:ascii="Arial" w:eastAsia="Times New Roman" w:hAnsi="Arial" w:cs="Arial"/>
          <w:sz w:val="24"/>
          <w:szCs w:val="24"/>
        </w:rPr>
        <w:t>odnos</w:t>
      </w:r>
      <w:proofErr w:type="gramEnd"/>
      <w:r w:rsidR="007974D5" w:rsidRPr="007974D5">
        <w:rPr>
          <w:rFonts w:ascii="Arial" w:eastAsia="Times New Roman" w:hAnsi="Arial" w:cs="Arial"/>
          <w:sz w:val="24"/>
          <w:szCs w:val="24"/>
        </w:rPr>
        <w:t xml:space="preserve"> cijene i kvaliteta 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□ najniža ponuđena c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>ijena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       broj bodova  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□ kvalitet                                           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 xml:space="preserve">                broj bodova  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1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Komisija za </w:t>
      </w:r>
      <w:r w:rsidR="00236A61">
        <w:rPr>
          <w:rFonts w:ascii="Arial" w:eastAsia="Calibri" w:hAnsi="Arial" w:cs="Arial"/>
          <w:bCs/>
          <w:sz w:val="24"/>
          <w:szCs w:val="24"/>
          <w:lang w:val="pl-PL"/>
        </w:rPr>
        <w:t>sprovođenje postupka javne nabavke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će vrednovati ponude po kriterijumu ekonomski naj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>povoljnija i to na način da će 9</w:t>
      </w:r>
      <w:r w:rsidR="005F4971">
        <w:rPr>
          <w:rFonts w:ascii="Arial" w:eastAsia="Calibri" w:hAnsi="Arial" w:cs="Arial"/>
          <w:bCs/>
          <w:sz w:val="24"/>
          <w:szCs w:val="24"/>
          <w:lang w:val="pl-PL"/>
        </w:rPr>
        <w:t>0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bodova  određivati najniže ponuđena cije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>na (C), 1</w:t>
      </w:r>
      <w:r w:rsidR="00227BFA">
        <w:rPr>
          <w:rFonts w:ascii="Arial" w:eastAsia="Calibri" w:hAnsi="Arial" w:cs="Arial"/>
          <w:bCs/>
          <w:sz w:val="24"/>
          <w:szCs w:val="24"/>
          <w:lang w:val="pl-PL"/>
        </w:rPr>
        <w:t xml:space="preserve">0 bodova  određivaće  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kvalitet (Q).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Ponuđač sa najvećim brojem bodova (C + Q) će biti izabran.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A62EF1" w:rsidP="008F26A4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Najniža ponuđena cijena (C)(9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>0 bodova)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Podkriterijum najniže ponuđena cijena iskazuje se na način što se najniže ukupna  ponuđena  cijena</w:t>
      </w:r>
      <w:r w:rsidR="00E642AF">
        <w:rPr>
          <w:rFonts w:ascii="Arial" w:eastAsia="Calibri" w:hAnsi="Arial" w:cs="Arial"/>
          <w:bCs/>
          <w:sz w:val="24"/>
          <w:szCs w:val="24"/>
          <w:lang w:val="pl-PL"/>
        </w:rPr>
        <w:t xml:space="preserve"> podijeli sa ponuđenom cijenom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i dobijeni koli</w:t>
      </w:r>
      <w:r w:rsidR="00E81D12">
        <w:rPr>
          <w:rFonts w:ascii="Arial" w:eastAsia="Calibri" w:hAnsi="Arial" w:cs="Arial"/>
          <w:bCs/>
          <w:sz w:val="24"/>
          <w:szCs w:val="24"/>
          <w:lang w:val="pl-PL"/>
        </w:rPr>
        <w:t>čnik pomnoži sa brojem bodova (9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0 bodova) i to po formuli: 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 (C)= C1 / C2 x</w:t>
      </w: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 </w:t>
      </w:r>
      <w:r w:rsidR="00A62EF1">
        <w:rPr>
          <w:rFonts w:ascii="Arial" w:eastAsia="Calibri" w:hAnsi="Arial" w:cs="Arial"/>
          <w:bCs/>
          <w:sz w:val="24"/>
          <w:szCs w:val="24"/>
          <w:lang w:val="pl-PL"/>
        </w:rPr>
        <w:t>9</w:t>
      </w: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>C- Broj bodova</w:t>
      </w:r>
    </w:p>
    <w:p w:rsid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C1-Najniža ukupna  ponuđena  cijena </w:t>
      </w:r>
    </w:p>
    <w:p w:rsidR="00457802" w:rsidRPr="00457802" w:rsidRDefault="00C75617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C2 -Ponuđena cijena </w:t>
      </w:r>
    </w:p>
    <w:p w:rsidR="00457802" w:rsidRPr="00457802" w:rsidRDefault="00457802" w:rsidP="0045780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EF637D" w:rsidRDefault="00EF637D" w:rsidP="00EF6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F637D">
        <w:rPr>
          <w:rFonts w:ascii="Arial" w:hAnsi="Arial" w:cs="Arial"/>
          <w:bCs/>
          <w:sz w:val="24"/>
          <w:szCs w:val="24"/>
          <w:lang w:val="pl-PL"/>
        </w:rPr>
        <w:t xml:space="preserve">2.         </w:t>
      </w:r>
      <w:r w:rsidR="00655976" w:rsidRPr="00EF637D">
        <w:rPr>
          <w:rFonts w:ascii="Arial" w:hAnsi="Arial" w:cs="Arial"/>
          <w:bCs/>
          <w:sz w:val="24"/>
          <w:szCs w:val="24"/>
          <w:lang w:val="pl-PL"/>
        </w:rPr>
        <w:t xml:space="preserve">Kvalitet    </w:t>
      </w:r>
      <w:r w:rsidR="00A62EF1">
        <w:rPr>
          <w:rFonts w:ascii="Arial" w:hAnsi="Arial" w:cs="Arial"/>
          <w:bCs/>
          <w:sz w:val="24"/>
          <w:szCs w:val="24"/>
          <w:lang w:val="pl-PL"/>
        </w:rPr>
        <w:t>(Q) 1</w:t>
      </w:r>
      <w:r w:rsidR="00457802" w:rsidRPr="00EF637D">
        <w:rPr>
          <w:rFonts w:ascii="Arial" w:hAnsi="Arial" w:cs="Arial"/>
          <w:bCs/>
          <w:sz w:val="24"/>
          <w:szCs w:val="24"/>
          <w:lang w:val="pl-PL"/>
        </w:rPr>
        <w:t>0 bodova</w:t>
      </w:r>
    </w:p>
    <w:p w:rsidR="00457802" w:rsidRPr="00EF637D" w:rsidRDefault="00EF637D" w:rsidP="00EF637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Podkriterijum kvalitet </w:t>
      </w:r>
      <w:r w:rsidRPr="00EF637D">
        <w:rPr>
          <w:rFonts w:ascii="Arial" w:hAnsi="Arial" w:cs="Arial"/>
          <w:bCs/>
          <w:sz w:val="24"/>
          <w:szCs w:val="24"/>
          <w:lang w:val="pl-PL"/>
        </w:rPr>
        <w:t>se izražava kroz broj benzinskih stanica koje dobavljač ima na teritoriji Crne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Gore, na način što se ponuđeni broj stanica podijeli sa najvećim ponuđenim brojem stanica i dobijeni količnik pomnoži sa brojem bodova koji je određen za ovaj podkriterijum.</w:t>
      </w:r>
    </w:p>
    <w:p w:rsidR="00F83C0B" w:rsidRPr="00F83C0B" w:rsidRDefault="00F83C0B" w:rsidP="00F83C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457802" w:rsidRPr="00457802" w:rsidRDefault="00F83C0B" w:rsidP="00F83C0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F83C0B">
        <w:rPr>
          <w:rFonts w:ascii="Arial" w:eastAsia="Calibri" w:hAnsi="Arial" w:cs="Arial"/>
          <w:bCs/>
          <w:sz w:val="24"/>
          <w:szCs w:val="24"/>
          <w:lang w:val="pl-PL"/>
        </w:rPr>
        <w:t xml:space="preserve">Broj bodova = </w:t>
      </w:r>
      <w:r w:rsidR="00EF637D">
        <w:rPr>
          <w:rFonts w:ascii="Arial" w:eastAsia="Calibri" w:hAnsi="Arial" w:cs="Arial"/>
          <w:bCs/>
          <w:sz w:val="24"/>
          <w:szCs w:val="24"/>
          <w:lang w:val="pl-PL"/>
        </w:rPr>
        <w:t>Q1 (ponuđeni broj stanica) / Qmax (najveći ponuđeni broj stanica</w:t>
      </w:r>
      <w:r w:rsidR="00A62EF1">
        <w:rPr>
          <w:rFonts w:ascii="Arial" w:eastAsia="Calibri" w:hAnsi="Arial" w:cs="Arial"/>
          <w:bCs/>
          <w:sz w:val="24"/>
          <w:szCs w:val="24"/>
          <w:lang w:val="pl-PL"/>
        </w:rPr>
        <w:t>) * 1</w:t>
      </w:r>
      <w:r w:rsidRPr="00F83C0B">
        <w:rPr>
          <w:rFonts w:ascii="Arial" w:eastAsia="Calibri" w:hAnsi="Arial" w:cs="Arial"/>
          <w:bCs/>
          <w:sz w:val="24"/>
          <w:szCs w:val="24"/>
          <w:lang w:val="pl-PL"/>
        </w:rPr>
        <w:t>0</w:t>
      </w:r>
    </w:p>
    <w:p w:rsidR="00457802" w:rsidRPr="00457802" w:rsidRDefault="00F83C0B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Q=Q1/Q</w:t>
      </w:r>
      <w:r w:rsidR="00655976">
        <w:rPr>
          <w:rFonts w:ascii="Arial" w:eastAsia="Calibri" w:hAnsi="Arial" w:cs="Arial"/>
          <w:bCs/>
          <w:sz w:val="24"/>
          <w:szCs w:val="24"/>
          <w:lang w:val="pl-PL"/>
        </w:rPr>
        <w:t xml:space="preserve">max x </w:t>
      </w:r>
      <w:r w:rsidR="00A62EF1">
        <w:rPr>
          <w:rFonts w:ascii="Arial" w:eastAsia="Calibri" w:hAnsi="Arial" w:cs="Arial"/>
          <w:bCs/>
          <w:sz w:val="24"/>
          <w:szCs w:val="24"/>
          <w:lang w:val="pl-PL"/>
        </w:rPr>
        <w:t>1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>0</w:t>
      </w:r>
    </w:p>
    <w:p w:rsidR="00457802" w:rsidRPr="00457802" w:rsidRDefault="00457802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457802">
        <w:rPr>
          <w:rFonts w:ascii="Arial" w:eastAsia="Calibri" w:hAnsi="Arial" w:cs="Arial"/>
          <w:bCs/>
          <w:sz w:val="24"/>
          <w:szCs w:val="24"/>
          <w:lang w:val="pl-PL"/>
        </w:rPr>
        <w:t xml:space="preserve">Gdje je: </w:t>
      </w:r>
    </w:p>
    <w:p w:rsidR="00457802" w:rsidRPr="00457802" w:rsidRDefault="00F83C0B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Q - </w:t>
      </w:r>
      <w:r w:rsidR="00457802" w:rsidRPr="00457802">
        <w:rPr>
          <w:rFonts w:ascii="Arial" w:eastAsia="Calibri" w:hAnsi="Arial" w:cs="Arial"/>
          <w:bCs/>
          <w:sz w:val="24"/>
          <w:szCs w:val="24"/>
          <w:lang w:val="pl-PL"/>
        </w:rPr>
        <w:t>Broj bodova</w:t>
      </w:r>
    </w:p>
    <w:p w:rsidR="00457802" w:rsidRPr="00457802" w:rsidRDefault="00EF637D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Q1- ponuđeni broj stanica</w:t>
      </w:r>
    </w:p>
    <w:p w:rsidR="00AE0047" w:rsidRDefault="00EF637D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>
        <w:rPr>
          <w:rFonts w:ascii="Arial" w:eastAsia="Calibri" w:hAnsi="Arial" w:cs="Arial"/>
          <w:bCs/>
          <w:sz w:val="24"/>
          <w:szCs w:val="24"/>
          <w:lang w:val="pl-PL"/>
        </w:rPr>
        <w:t>Qmax- najveći ponuđeni broj stanica</w:t>
      </w:r>
    </w:p>
    <w:p w:rsidR="00AE0047" w:rsidRPr="00AE0047" w:rsidRDefault="00AE0047" w:rsidP="0045780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F83C0B" w:rsidRPr="00D27CF8" w:rsidRDefault="00F83C0B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_Toc44578273"/>
      <w:bookmarkStart w:id="9" w:name="_Toc54001457"/>
      <w:bookmarkStart w:id="10" w:name="_Toc54003127"/>
      <w:r w:rsidRPr="007974D5">
        <w:rPr>
          <w:rFonts w:ascii="Arial" w:eastAsia="Times New Roman" w:hAnsi="Arial" w:cs="Arial"/>
          <w:b/>
          <w:bCs/>
          <w:sz w:val="24"/>
          <w:szCs w:val="24"/>
        </w:rPr>
        <w:t>UPUTSTVO ZA SAČINJAVANJE PONUDE</w:t>
      </w:r>
      <w:bookmarkEnd w:id="8"/>
      <w:bookmarkEnd w:id="9"/>
      <w:bookmarkEnd w:id="10"/>
    </w:p>
    <w:p w:rsidR="007974D5" w:rsidRPr="007974D5" w:rsidRDefault="007974D5" w:rsidP="00797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Ponude se sačinjavaju u skladu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tenderskom dokumentacijom i Pravilnikom o sadržaju ponude i uputstvu za sačinjavanje i podnošenje ponude.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D746C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Ispunjenost uslova za učešće u postupku javne nabavke dokazuje se izjavom privrednog subjekta, koja se sačinjava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obrascu datom u Pravilniku o sadržaju ponude i uputstvu za sačinjavanje i podno</w:t>
      </w:r>
      <w:r w:rsidR="0062264F">
        <w:rPr>
          <w:rFonts w:ascii="Arial" w:eastAsia="Times New Roman" w:hAnsi="Arial" w:cs="Arial"/>
          <w:sz w:val="24"/>
          <w:szCs w:val="24"/>
        </w:rPr>
        <w:t>šenje ponude.</w:t>
      </w:r>
    </w:p>
    <w:p w:rsidR="00AE0047" w:rsidRPr="0062264F" w:rsidRDefault="00AE0047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_Toc44578274"/>
      <w:bookmarkStart w:id="12" w:name="_Toc54001458"/>
      <w:bookmarkStart w:id="13" w:name="_Toc54003128"/>
      <w:r w:rsidRPr="007974D5">
        <w:rPr>
          <w:rFonts w:ascii="Arial" w:eastAsia="Times New Roman" w:hAnsi="Arial" w:cs="Arial"/>
          <w:b/>
          <w:bCs/>
          <w:sz w:val="24"/>
          <w:szCs w:val="24"/>
        </w:rPr>
        <w:t>NAČIN ZAKLJUČIVANJA I IZMJENE UGOVORA O JAVNOJ NABACI</w:t>
      </w:r>
      <w:bookmarkEnd w:id="11"/>
      <w:bookmarkEnd w:id="12"/>
      <w:bookmarkEnd w:id="13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122C50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7E0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</w:t>
      </w:r>
      <w:proofErr w:type="gramStart"/>
      <w:r w:rsidRPr="00BD37E0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BD37E0">
        <w:rPr>
          <w:rFonts w:ascii="Arial" w:eastAsia="Times New Roman" w:hAnsi="Arial" w:cs="Arial"/>
          <w:sz w:val="24"/>
          <w:szCs w:val="24"/>
        </w:rPr>
        <w:t xml:space="preserve"> ponuđačem čija je ponuda izabrana kao najpovoljnija, nakon izvršnosti odluke o izboru najpovoljnije ponude. </w:t>
      </w:r>
    </w:p>
    <w:p w:rsidR="004C2B34" w:rsidRPr="00BD37E0" w:rsidRDefault="004C2B34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2C50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7E0">
        <w:rPr>
          <w:rFonts w:ascii="Arial" w:eastAsia="Times New Roman" w:hAnsi="Arial" w:cs="Arial"/>
          <w:sz w:val="24"/>
          <w:szCs w:val="24"/>
        </w:rPr>
        <w:t xml:space="preserve">Ugovor o javnoj nabavci mora da bude u skladu </w:t>
      </w:r>
      <w:proofErr w:type="gramStart"/>
      <w:r w:rsidRPr="00BD37E0">
        <w:rPr>
          <w:rFonts w:ascii="Arial" w:eastAsia="Times New Roman" w:hAnsi="Arial" w:cs="Arial"/>
          <w:sz w:val="24"/>
          <w:szCs w:val="24"/>
        </w:rPr>
        <w:t>sa</w:t>
      </w:r>
      <w:proofErr w:type="gramEnd"/>
      <w:r w:rsidRPr="00BD37E0">
        <w:rPr>
          <w:rFonts w:ascii="Arial" w:eastAsia="Times New Roman" w:hAnsi="Arial" w:cs="Arial"/>
          <w:sz w:val="24"/>
          <w:szCs w:val="24"/>
        </w:rPr>
        <w:t xml:space="preserve"> uslovima utvrđenim tenderskom dokumentacijom, izabranom ponudom i odlukom o izboru najpovoljnije ponude, osim u pogledu iskazivanja PDV-a.</w:t>
      </w:r>
    </w:p>
    <w:p w:rsidR="004C2B34" w:rsidRPr="00BD37E0" w:rsidRDefault="004C2B34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2C50" w:rsidRPr="00BD37E0" w:rsidRDefault="00122C50" w:rsidP="00BD37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37E0">
        <w:rPr>
          <w:rFonts w:ascii="Arial" w:eastAsia="Times New Roman" w:hAnsi="Arial" w:cs="Arial"/>
          <w:color w:val="000000"/>
          <w:sz w:val="24"/>
          <w:szCs w:val="24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BD37E0">
        <w:rPr>
          <w:rFonts w:ascii="Arial" w:eastAsia="Times New Roman" w:hAnsi="Arial" w:cs="Arial"/>
          <w:color w:val="000000"/>
          <w:sz w:val="24"/>
          <w:szCs w:val="24"/>
        </w:rPr>
        <w:t>će</w:t>
      </w:r>
      <w:proofErr w:type="gramEnd"/>
      <w:r w:rsidRPr="00BD37E0">
        <w:rPr>
          <w:rFonts w:ascii="Arial" w:eastAsia="Times New Roman" w:hAnsi="Arial" w:cs="Arial"/>
          <w:color w:val="000000"/>
          <w:sz w:val="24"/>
          <w:szCs w:val="24"/>
        </w:rPr>
        <w:t xml:space="preserve"> sadržati i sljedeće:</w:t>
      </w:r>
    </w:p>
    <w:p w:rsidR="007113C4" w:rsidRDefault="007113C4" w:rsidP="00BD37E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113C4" w:rsidRDefault="007113C4" w:rsidP="00BD37E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113C4" w:rsidRDefault="007113C4" w:rsidP="00BD37E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113C4" w:rsidRDefault="007113C4" w:rsidP="00BD37E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7113C4" w:rsidRPr="00E34543" w:rsidRDefault="007113C4" w:rsidP="007113C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Dobavljač se obavezuje da Naručiocu  isporučuje gorivo za motorna vozila </w:t>
      </w:r>
      <w:r w:rsidRPr="00E34543">
        <w:rPr>
          <w:rFonts w:ascii="Arial" w:hAnsi="Arial" w:cs="Arial"/>
          <w:sz w:val="24"/>
          <w:szCs w:val="24"/>
        </w:rPr>
        <w:t>(euro super 95  i euro dizel)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, do isteka ugovorene vrijednosti sukcesivno po zahtjevu NARUČIOCA na benzinskim stanicama Dobavljač (FCO benzinske stanice) po cijenama važećim na dan preuzimanja robe, a  koje se formiraju na osnovu Uredbe o načinu obrazovanja maksimalnih maloprodajnih cijena naftnih derivata </w:t>
      </w:r>
      <w:r w:rsidRPr="00E34543">
        <w:rPr>
          <w:rFonts w:ascii="Arial" w:hAnsi="Arial" w:cs="Arial"/>
          <w:sz w:val="24"/>
          <w:szCs w:val="24"/>
          <w:lang w:val="sr-Latn-ME" w:eastAsia="sr-Latn-ME"/>
        </w:rPr>
        <w:t>("Službeni list Republike Crne Gore", br. 52/02, 55/02, 23/03, 32/05, 35/05, Službeni list Crne Gore", br. 73/08, 73/10, 18/15, 63/1</w:t>
      </w:r>
      <w:r w:rsidRPr="00E81D12">
        <w:rPr>
          <w:rFonts w:ascii="Arial" w:hAnsi="Arial" w:cs="Arial"/>
          <w:sz w:val="24"/>
          <w:szCs w:val="24"/>
          <w:lang w:val="sr-Latn-ME" w:eastAsia="sr-Latn-ME"/>
        </w:rPr>
        <w:t>5</w:t>
      </w:r>
      <w:r w:rsidR="00A62EF1" w:rsidRPr="00E81D12">
        <w:rPr>
          <w:rFonts w:ascii="Arial" w:hAnsi="Arial" w:cs="Arial"/>
          <w:sz w:val="24"/>
          <w:szCs w:val="24"/>
          <w:lang w:val="sr-Latn-CS"/>
        </w:rPr>
        <w:t>)</w:t>
      </w:r>
    </w:p>
    <w:p w:rsidR="007113C4" w:rsidRPr="00E81D12" w:rsidRDefault="007113C4" w:rsidP="00711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D12">
        <w:rPr>
          <w:rFonts w:ascii="Arial" w:hAnsi="Arial" w:cs="Arial"/>
          <w:sz w:val="24"/>
          <w:szCs w:val="24"/>
        </w:rPr>
        <w:t xml:space="preserve">Plaćanje se vrši </w:t>
      </w:r>
      <w:proofErr w:type="gramStart"/>
      <w:r w:rsidRPr="00E81D12">
        <w:rPr>
          <w:rFonts w:ascii="Arial" w:hAnsi="Arial" w:cs="Arial"/>
          <w:sz w:val="24"/>
          <w:szCs w:val="24"/>
        </w:rPr>
        <w:t>na</w:t>
      </w:r>
      <w:proofErr w:type="gramEnd"/>
      <w:r w:rsidRPr="00E81D12">
        <w:rPr>
          <w:rFonts w:ascii="Arial" w:hAnsi="Arial" w:cs="Arial"/>
          <w:sz w:val="24"/>
          <w:szCs w:val="24"/>
        </w:rPr>
        <w:t xml:space="preserve"> osnovu zbirnog naloga za plaćanje koji će biti plaćen najkasnije do 15-og u narednom mjesecu.</w:t>
      </w:r>
    </w:p>
    <w:p w:rsidR="007113C4" w:rsidRPr="00E81D12" w:rsidRDefault="00A62EF1" w:rsidP="007113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81D12">
        <w:rPr>
          <w:rFonts w:ascii="Arial" w:hAnsi="Arial" w:cs="Arial"/>
          <w:sz w:val="24"/>
          <w:szCs w:val="24"/>
          <w:lang w:val="sl-SI"/>
        </w:rPr>
        <w:t>Rok za i</w:t>
      </w:r>
      <w:r w:rsidRPr="00E81D12">
        <w:rPr>
          <w:rFonts w:ascii="Arial" w:hAnsi="Arial" w:cs="Arial"/>
          <w:sz w:val="24"/>
          <w:szCs w:val="24"/>
          <w:lang w:val="sr-Latn-ME"/>
        </w:rPr>
        <w:t>zvršenje predmetne nabavke</w:t>
      </w:r>
      <w:r w:rsidR="007113C4" w:rsidRPr="00E81D12">
        <w:rPr>
          <w:rFonts w:ascii="Arial" w:hAnsi="Arial" w:cs="Arial"/>
          <w:sz w:val="24"/>
          <w:szCs w:val="24"/>
          <w:lang w:val="sl-SI"/>
        </w:rPr>
        <w:t xml:space="preserve">  je </w:t>
      </w:r>
      <w:r w:rsidR="007113C4" w:rsidRPr="00E81D12">
        <w:rPr>
          <w:rFonts w:ascii="Arial" w:hAnsi="Arial" w:cs="Arial"/>
          <w:sz w:val="24"/>
          <w:szCs w:val="24"/>
        </w:rPr>
        <w:t>godinu dana od dana zaključivanja ugovora</w:t>
      </w:r>
      <w:r w:rsidR="007113C4" w:rsidRPr="00E81D12">
        <w:rPr>
          <w:rFonts w:ascii="Arial" w:hAnsi="Arial" w:cs="Arial"/>
          <w:sz w:val="24"/>
          <w:szCs w:val="24"/>
          <w:lang w:val="sr-Latn-CS"/>
        </w:rPr>
        <w:t xml:space="preserve"> .</w:t>
      </w:r>
    </w:p>
    <w:p w:rsidR="007113C4" w:rsidRPr="00E34543" w:rsidRDefault="007113C4" w:rsidP="007113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4543">
        <w:rPr>
          <w:rFonts w:ascii="Arial" w:hAnsi="Arial" w:cs="Arial"/>
          <w:sz w:val="24"/>
          <w:szCs w:val="24"/>
        </w:rPr>
        <w:t xml:space="preserve">Dobavljač se obavezuje da ugovorenu isporuku izvrši odmah na </w:t>
      </w:r>
      <w:proofErr w:type="gramStart"/>
      <w:r w:rsidRPr="00E34543">
        <w:rPr>
          <w:rFonts w:ascii="Arial" w:hAnsi="Arial" w:cs="Arial"/>
          <w:sz w:val="24"/>
          <w:szCs w:val="24"/>
        </w:rPr>
        <w:t>registrovanim  pumpnim</w:t>
      </w:r>
      <w:proofErr w:type="gramEnd"/>
      <w:r w:rsidRPr="00E34543">
        <w:rPr>
          <w:rFonts w:ascii="Arial" w:hAnsi="Arial" w:cs="Arial"/>
          <w:sz w:val="24"/>
          <w:szCs w:val="24"/>
        </w:rPr>
        <w:t xml:space="preserve"> stanicama, po potrebi Naručioca, </w:t>
      </w:r>
      <w:r w:rsidRPr="00E34543">
        <w:rPr>
          <w:rFonts w:ascii="Arial" w:hAnsi="Arial" w:cs="Arial"/>
          <w:color w:val="000000"/>
          <w:sz w:val="24"/>
          <w:szCs w:val="24"/>
          <w:lang w:val="pl-PL"/>
        </w:rPr>
        <w:t>u Crnoj Gori</w:t>
      </w:r>
      <w:r w:rsidRPr="00E34543">
        <w:rPr>
          <w:rFonts w:ascii="Arial" w:hAnsi="Arial" w:cs="Arial"/>
          <w:color w:val="000000"/>
          <w:sz w:val="24"/>
          <w:szCs w:val="24"/>
        </w:rPr>
        <w:t xml:space="preserve">: Bar, </w:t>
      </w:r>
      <w:r w:rsidRPr="00E34543">
        <w:rPr>
          <w:rFonts w:ascii="Arial" w:hAnsi="Arial" w:cs="Arial"/>
          <w:sz w:val="24"/>
          <w:szCs w:val="24"/>
          <w:lang w:val="sr-Latn-CS"/>
        </w:rPr>
        <w:t>Herceg Novi, Podgorica, Nikšić, Pljevlja i Bijelo Polje</w:t>
      </w:r>
      <w:r w:rsidRPr="00E34543">
        <w:rPr>
          <w:rFonts w:ascii="Arial" w:hAnsi="Arial" w:cs="Arial"/>
          <w:color w:val="000000"/>
          <w:sz w:val="24"/>
          <w:szCs w:val="24"/>
        </w:rPr>
        <w:t>.</w:t>
      </w:r>
    </w:p>
    <w:p w:rsidR="007113C4" w:rsidRPr="00E34543" w:rsidRDefault="007113C4" w:rsidP="007113C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sl-SI"/>
        </w:rPr>
      </w:pPr>
      <w:r w:rsidRPr="00E34543">
        <w:rPr>
          <w:rFonts w:ascii="Arial" w:hAnsi="Arial" w:cs="Arial"/>
          <w:color w:val="000000"/>
          <w:sz w:val="24"/>
          <w:szCs w:val="24"/>
        </w:rPr>
        <w:t>Dobavljač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 se obavezuje da gorivo isporučuje sukcesivno</w:t>
      </w:r>
      <w:r w:rsidRPr="00E34543">
        <w:rPr>
          <w:rFonts w:ascii="Arial" w:hAnsi="Arial" w:cs="Arial"/>
          <w:iCs/>
          <w:sz w:val="24"/>
          <w:szCs w:val="24"/>
          <w:lang w:val="sl-SI"/>
        </w:rPr>
        <w:t xml:space="preserve">, zavisno </w:t>
      </w:r>
      <w:proofErr w:type="gramStart"/>
      <w:r w:rsidRPr="00E34543">
        <w:rPr>
          <w:rFonts w:ascii="Arial" w:hAnsi="Arial" w:cs="Arial"/>
          <w:iCs/>
          <w:sz w:val="24"/>
          <w:szCs w:val="24"/>
          <w:lang w:val="sl-SI"/>
        </w:rPr>
        <w:t>od</w:t>
      </w:r>
      <w:proofErr w:type="gramEnd"/>
      <w:r w:rsidRPr="00E34543">
        <w:rPr>
          <w:rFonts w:ascii="Arial" w:hAnsi="Arial" w:cs="Arial"/>
          <w:iCs/>
          <w:sz w:val="24"/>
          <w:szCs w:val="24"/>
          <w:lang w:val="sl-SI"/>
        </w:rPr>
        <w:t xml:space="preserve"> potreba </w:t>
      </w:r>
      <w:r w:rsidRPr="00E34543">
        <w:rPr>
          <w:rFonts w:ascii="Arial" w:hAnsi="Arial" w:cs="Arial"/>
          <w:color w:val="000000"/>
          <w:sz w:val="24"/>
          <w:szCs w:val="24"/>
        </w:rPr>
        <w:t>Naručioca</w:t>
      </w:r>
      <w:r w:rsidRPr="00E34543">
        <w:rPr>
          <w:rFonts w:ascii="Arial" w:hAnsi="Arial" w:cs="Arial"/>
          <w:iCs/>
          <w:sz w:val="24"/>
          <w:szCs w:val="24"/>
          <w:lang w:val="sl-SI"/>
        </w:rPr>
        <w:t xml:space="preserve">. </w:t>
      </w:r>
    </w:p>
    <w:p w:rsidR="007113C4" w:rsidRPr="00E34543" w:rsidRDefault="007113C4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Dobavljač je dužan </w:t>
      </w:r>
      <w:r w:rsidRPr="00E34543">
        <w:rPr>
          <w:rFonts w:ascii="Arial" w:hAnsi="Arial" w:cs="Arial"/>
          <w:sz w:val="24"/>
          <w:szCs w:val="24"/>
        </w:rPr>
        <w:t xml:space="preserve">da obezbijedi isporuke goriva za službena vozila putem kartica. </w:t>
      </w:r>
      <w:r w:rsidRPr="00E34543">
        <w:rPr>
          <w:rFonts w:ascii="Arial" w:hAnsi="Arial" w:cs="Arial"/>
          <w:sz w:val="24"/>
          <w:szCs w:val="24"/>
          <w:lang w:val="sr-Latn-CS"/>
        </w:rPr>
        <w:t>Obaveza Dobavljača je da za potrebe Naručioca izradi kartice za točenje goriva za sva vozila. Troškovi izrade kart</w:t>
      </w:r>
      <w:r w:rsidR="004F0E78" w:rsidRPr="00E34543">
        <w:rPr>
          <w:rFonts w:ascii="Arial" w:hAnsi="Arial" w:cs="Arial"/>
          <w:sz w:val="24"/>
          <w:szCs w:val="24"/>
          <w:lang w:val="sr-Latn-CS"/>
        </w:rPr>
        <w:t>ica padaju na teret Dobavljača.</w:t>
      </w:r>
    </w:p>
    <w:p w:rsidR="007113C4" w:rsidRPr="00E34543" w:rsidRDefault="007113C4" w:rsidP="007113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 xml:space="preserve">Dobavljač garantuje da će Naručiocu biti isporučeno gorivo </w:t>
      </w:r>
      <w:r w:rsidR="0062226C">
        <w:rPr>
          <w:rFonts w:ascii="Arial" w:hAnsi="Arial" w:cs="Arial"/>
          <w:sz w:val="24"/>
          <w:szCs w:val="24"/>
          <w:lang w:val="sr-Latn-CS"/>
        </w:rPr>
        <w:t xml:space="preserve">kvaliteta </w:t>
      </w:r>
      <w:r w:rsidRPr="00E34543">
        <w:rPr>
          <w:rFonts w:ascii="Arial" w:hAnsi="Arial" w:cs="Arial"/>
          <w:sz w:val="24"/>
          <w:szCs w:val="24"/>
          <w:lang w:val="sr-Latn-CS"/>
        </w:rPr>
        <w:t xml:space="preserve">u skladu sa Izvještajima o ispitivanju kvaliteta goriva.  </w:t>
      </w:r>
    </w:p>
    <w:p w:rsidR="007113C4" w:rsidRPr="00E34543" w:rsidRDefault="007113C4" w:rsidP="007113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>Dobavljač je dužan da Naručiocu nadoknadi sve troškove i štetu koja nastane usled korišćenja goriva isporučenog od strane Dobavljača, a koje nije u skladu sa Izvještajima o ispitivanju kvaliteta.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>Ponuđač čija ponuda bude izabrana kao najpovoljnija (u daljem tekstu: Dobavljač) dužan je uz zaključen ugovor o javnoj nabavci dostavi Naručiocu garanciju za dobro izvršenje ugovora, za slučaj povrede ugovorenih obaveza u iznosu od 5% od vrijednosti ugovora, koja je bezuslovna i plativa na prvi poziv naručioca nakon nastanka razloga na koji se odnosi</w:t>
      </w:r>
      <w:r w:rsidR="004354E8">
        <w:rPr>
          <w:rFonts w:ascii="Arial" w:hAnsi="Arial" w:cs="Arial"/>
          <w:sz w:val="24"/>
          <w:szCs w:val="24"/>
          <w:lang w:val="sr-Latn-CS"/>
        </w:rPr>
        <w:t xml:space="preserve">. </w:t>
      </w:r>
      <w:r w:rsidRPr="00E34543">
        <w:rPr>
          <w:rFonts w:ascii="Arial" w:hAnsi="Arial" w:cs="Arial"/>
          <w:sz w:val="24"/>
          <w:szCs w:val="24"/>
          <w:lang w:val="sr-Latn-CS"/>
        </w:rPr>
        <w:t>Garancija za dobro izvršenje ugovora za slučaj povrede ugovorenih obaveza treba da važi 30 dana duže od roka izvršenja ugovora.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>Ako Dobavljač ne preda naručiocu garanciju za dobro izvršenje ugovora u momentu zaključenja ugovora, smatra se da je odustao od ponude.</w:t>
      </w:r>
    </w:p>
    <w:p w:rsidR="007113C4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E34543">
        <w:rPr>
          <w:rFonts w:ascii="Arial" w:hAnsi="Arial" w:cs="Arial"/>
          <w:sz w:val="24"/>
          <w:szCs w:val="24"/>
          <w:lang w:val="sr-Latn-CS"/>
        </w:rPr>
        <w:t>U slučaju iz prethodnog stava Naručilac će aktivirati garanciju  ponude. Ako Dobavljač ne produži važenje garancije za dobro izvršenje ugovora, Naručilac će aktivirati ovu garanciju.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34543">
        <w:rPr>
          <w:rFonts w:ascii="Arial" w:eastAsia="Times New Roman" w:hAnsi="Arial" w:cs="Arial"/>
          <w:color w:val="000000"/>
          <w:sz w:val="24"/>
          <w:szCs w:val="24"/>
          <w:lang w:val="sl-SI"/>
        </w:rPr>
        <w:t>Naručilac i Dobavljač su saglasni da sastavni dio ovog ugovora čine: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34543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- </w:t>
      </w:r>
      <w:r w:rsidRPr="00E34543">
        <w:rPr>
          <w:rFonts w:ascii="Arial" w:hAnsi="Arial" w:cs="Arial"/>
          <w:sz w:val="24"/>
          <w:szCs w:val="24"/>
          <w:lang w:val="sl-SI"/>
        </w:rPr>
        <w:t>ponuda Dobavljača,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34543">
        <w:rPr>
          <w:rFonts w:ascii="Arial" w:hAnsi="Arial" w:cs="Arial"/>
          <w:sz w:val="24"/>
          <w:szCs w:val="24"/>
          <w:lang w:val="sl-SI"/>
        </w:rPr>
        <w:t>- garancija za dobro izvršenje ugovora za slučaj povrede ugovorenih obaveza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izvr</w:t>
      </w:r>
      <w:r w:rsidR="00E34543">
        <w:rPr>
          <w:rFonts w:ascii="Arial" w:eastAsia="PMingLiU" w:hAnsi="Arial" w:cs="Arial"/>
          <w:sz w:val="24"/>
          <w:szCs w:val="24"/>
          <w:lang w:val="pl-PL" w:eastAsia="zh-TW"/>
        </w:rPr>
        <w:t>šenje posla u slučaju da Dobavljač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: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lastRenderedPageBreak/>
        <w:t xml:space="preserve">2) ako nastupi neki razlog koji predstavlja osnov za obavezno isključivanje ugovora, odnosno ako naručilac utvrdi da postoji sukob interesa kod </w:t>
      </w:r>
      <w:r w:rsidR="00E34543">
        <w:rPr>
          <w:rFonts w:ascii="Arial" w:eastAsia="PMingLiU" w:hAnsi="Arial" w:cs="Arial"/>
          <w:sz w:val="24"/>
          <w:szCs w:val="24"/>
          <w:lang w:val="pl-PL" w:eastAsia="zh-TW"/>
        </w:rPr>
        <w:t>dobavljač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i naručioca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3) ukoliko se tokom traja</w:t>
      </w:r>
      <w:r w:rsidR="008152DD" w:rsidRPr="00E34543">
        <w:rPr>
          <w:rFonts w:ascii="Arial" w:eastAsia="PMingLiU" w:hAnsi="Arial" w:cs="Arial"/>
          <w:sz w:val="24"/>
          <w:szCs w:val="24"/>
          <w:lang w:val="pl-PL" w:eastAsia="zh-TW"/>
        </w:rPr>
        <w:t>nja ugovora utvrdi da je dobavljač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pravosnažno osuđen odnosno čiji je izvršni direktor pravosnažno osuđen za neko od krivičnih dijela predviđenih članom 99 stav 1 tačka 1 ZJN</w:t>
      </w:r>
    </w:p>
    <w:p w:rsidR="004F0E78" w:rsidRPr="00E34543" w:rsidRDefault="008152DD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4) ukoliko dobavljač</w:t>
      </w:r>
      <w:r w:rsidR="004F0E78"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tokom trajanja ugovora nije izmirio sve dospjele obaveze po osnovu poreza i doprinosa za penzijsko i zdravstveno osiguranje</w:t>
      </w:r>
    </w:p>
    <w:p w:rsidR="004F0E78" w:rsidRPr="00E34543" w:rsidRDefault="004F0E78" w:rsidP="004F0E7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>5) ako</w:t>
      </w:r>
      <w:r w:rsidR="008152DD"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dobavljač</w:t>
      </w:r>
      <w:r w:rsidRPr="00E34543">
        <w:rPr>
          <w:rFonts w:ascii="Arial" w:eastAsia="PMingLiU" w:hAnsi="Arial" w:cs="Arial"/>
          <w:sz w:val="24"/>
          <w:szCs w:val="24"/>
          <w:lang w:val="pl-PL" w:eastAsia="zh-TW"/>
        </w:rPr>
        <w:t xml:space="preserve"> ne izvršava ugovorene obaveze </w:t>
      </w:r>
    </w:p>
    <w:p w:rsidR="004F0E78" w:rsidRPr="00E34543" w:rsidRDefault="00E34543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>
        <w:rPr>
          <w:rFonts w:ascii="Arial" w:hAnsi="Arial" w:cs="Arial"/>
          <w:sz w:val="24"/>
          <w:szCs w:val="24"/>
          <w:lang w:val="pl-PL" w:eastAsia="zh-TW"/>
        </w:rPr>
        <w:t>Dobavljač</w:t>
      </w:r>
      <w:r w:rsidR="004F0E78" w:rsidRPr="00E34543">
        <w:rPr>
          <w:rFonts w:ascii="Arial" w:hAnsi="Arial" w:cs="Arial"/>
          <w:sz w:val="24"/>
          <w:szCs w:val="24"/>
          <w:lang w:val="pl-PL" w:eastAsia="zh-TW"/>
        </w:rPr>
        <w:t xml:space="preserve"> će jednostrano raskinuti Ugovor ako Naručilac ne </w:t>
      </w:r>
      <w:r>
        <w:rPr>
          <w:rFonts w:ascii="Arial" w:hAnsi="Arial" w:cs="Arial"/>
          <w:sz w:val="24"/>
          <w:szCs w:val="24"/>
          <w:lang w:val="pl-PL" w:eastAsia="zh-TW"/>
        </w:rPr>
        <w:t>plaća Dobavljaču</w:t>
      </w:r>
      <w:r w:rsidR="004F0E78" w:rsidRPr="00E34543">
        <w:rPr>
          <w:rFonts w:ascii="Arial" w:hAnsi="Arial" w:cs="Arial"/>
          <w:sz w:val="24"/>
          <w:szCs w:val="24"/>
          <w:lang w:val="pl-PL" w:eastAsia="zh-TW"/>
        </w:rPr>
        <w:t xml:space="preserve"> u rokovima i na način predviđen Ugovorom.</w:t>
      </w:r>
    </w:p>
    <w:p w:rsidR="008152DD" w:rsidRPr="00E34543" w:rsidRDefault="008152DD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</w:p>
    <w:p w:rsidR="004F0E78" w:rsidRPr="00E34543" w:rsidRDefault="004F0E78" w:rsidP="004F0E7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34543">
        <w:rPr>
          <w:rFonts w:ascii="Arial" w:hAnsi="Arial" w:cs="Arial"/>
          <w:sz w:val="24"/>
          <w:szCs w:val="24"/>
          <w:lang w:val="sl-SI"/>
        </w:rPr>
        <w:t>Ugovor o javnoj nabavci koji je zaključen uz kršenje antikorupcijskog pravila ništav je,  u skladu sa članom 38 stav 3 Zakona o javnim nabavkama („Sl. list CG“ br. 074/19).</w:t>
      </w:r>
    </w:p>
    <w:p w:rsidR="008527E7" w:rsidRPr="004354E8" w:rsidRDefault="008527E7" w:rsidP="004354E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021E8" w:rsidRPr="00E34543" w:rsidRDefault="00A021E8" w:rsidP="00BD37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34543">
        <w:rPr>
          <w:rFonts w:ascii="Arial" w:eastAsia="Times New Roman" w:hAnsi="Arial" w:cs="Arial"/>
          <w:sz w:val="24"/>
          <w:szCs w:val="24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pl-PL"/>
        </w:rPr>
      </w:pPr>
    </w:p>
    <w:p w:rsidR="008527E7" w:rsidRPr="008C5DF0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pl-PL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_Toc44578275"/>
      <w:bookmarkStart w:id="15" w:name="_Toc54001459"/>
      <w:bookmarkStart w:id="16" w:name="_Toc54003129"/>
      <w:r w:rsidRPr="007974D5">
        <w:rPr>
          <w:rFonts w:ascii="Arial" w:eastAsia="Times New Roman" w:hAnsi="Arial" w:cs="Arial"/>
          <w:b/>
          <w:bCs/>
          <w:sz w:val="24"/>
          <w:szCs w:val="24"/>
        </w:rPr>
        <w:t>ZAHTJEV ZA POJAŠNJENJE ILI IZMJENU I DOPUNU TENDERSKE DOKUMENTACIJE</w:t>
      </w:r>
      <w:bookmarkEnd w:id="14"/>
      <w:bookmarkEnd w:id="15"/>
      <w:bookmarkEnd w:id="16"/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osam dana od dana objavljivanja, odnosno dostavljanja tenderske dokumentacije u skladu sa članom 94 st. 4 i 5 Zakona o javnim nabavkama. 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Privredni subjekat ima pravo da pisanim zahtjevom traži </w:t>
      </w:r>
      <w:proofErr w:type="gramStart"/>
      <w:r w:rsidRPr="007974D5">
        <w:rPr>
          <w:rFonts w:ascii="Arial" w:eastAsia="Times New Roman" w:hAnsi="Arial" w:cs="Arial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sz w:val="24"/>
          <w:szCs w:val="24"/>
        </w:rPr>
        <w:t xml:space="preserve"> naručioca pojašnjenje tenderske dokumentacije najkasnije deset dana prije isteka roka određenog za dostavljanje ponuda.</w:t>
      </w:r>
    </w:p>
    <w:p w:rsidR="007974D5" w:rsidRPr="007974D5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12E3" w:rsidRDefault="007974D5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Zahtjev se podnosi isključivo u pisanoj form</w:t>
      </w:r>
      <w:r w:rsidR="00F32407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proofErr w:type="gramStart"/>
      <w:r w:rsidR="00F32407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="00F32407">
        <w:rPr>
          <w:rFonts w:ascii="Arial" w:eastAsia="Times New Roman" w:hAnsi="Arial" w:cs="Arial"/>
          <w:color w:val="000000"/>
          <w:sz w:val="24"/>
          <w:szCs w:val="24"/>
        </w:rPr>
        <w:t xml:space="preserve"> adresu naručioca, e-mail-om.</w:t>
      </w:r>
    </w:p>
    <w:p w:rsidR="006F32DA" w:rsidRDefault="006F32DA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E0047" w:rsidRDefault="00AE004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27E7" w:rsidRDefault="008527E7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45A4" w:rsidRDefault="005A45A4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54E8" w:rsidRDefault="004354E8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A45A4" w:rsidRDefault="005A45A4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D39CF" w:rsidRPr="007974D5" w:rsidRDefault="008D39CF" w:rsidP="007974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32407" w:rsidRPr="00F32407" w:rsidRDefault="00F32407" w:rsidP="008F26A4">
      <w:pPr>
        <w:pStyle w:val="ListParagraph"/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" w:name="_Toc416180136"/>
      <w:bookmarkStart w:id="18" w:name="_Toc508349235"/>
      <w:bookmarkStart w:id="19" w:name="_Toc44578276"/>
      <w:bookmarkStart w:id="20" w:name="_Toc54001460"/>
      <w:bookmarkStart w:id="21" w:name="_Toc54003130"/>
      <w:r w:rsidRPr="00F32407">
        <w:rPr>
          <w:rFonts w:ascii="Arial" w:eastAsia="Times New Roman" w:hAnsi="Arial" w:cs="Arial"/>
          <w:b/>
          <w:bCs/>
          <w:sz w:val="24"/>
          <w:szCs w:val="24"/>
        </w:rPr>
        <w:lastRenderedPageBreak/>
        <w:t>IZJAVA NARUČIOCA O NEPOSTOJANJU SUKOBA INTERESA</w:t>
      </w:r>
      <w:bookmarkEnd w:id="17"/>
      <w:bookmarkEnd w:id="18"/>
      <w:bookmarkEnd w:id="19"/>
      <w:bookmarkEnd w:id="20"/>
      <w:bookmarkEnd w:id="21"/>
    </w:p>
    <w:p w:rsidR="000212D0" w:rsidRPr="000212D0" w:rsidRDefault="000212D0" w:rsidP="000212D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212D0" w:rsidRPr="000212D0" w:rsidRDefault="000212D0" w:rsidP="000212D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212D0" w:rsidRPr="000212D0" w:rsidRDefault="000212D0" w:rsidP="000212D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212D0">
        <w:rPr>
          <w:rFonts w:ascii="Arial" w:eastAsia="Times New Roman" w:hAnsi="Arial" w:cs="Arial"/>
          <w:color w:val="000000"/>
        </w:rPr>
        <w:t>Opština Bar</w:t>
      </w:r>
    </w:p>
    <w:p w:rsidR="000212D0" w:rsidRPr="000212D0" w:rsidRDefault="00473489" w:rsidP="00021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Broj: 01-018/20-2946/2</w:t>
      </w:r>
    </w:p>
    <w:p w:rsidR="000212D0" w:rsidRP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>Mj</w:t>
      </w:r>
      <w:r w:rsidR="00473489">
        <w:rPr>
          <w:rFonts w:ascii="Arial" w:eastAsia="Times New Roman" w:hAnsi="Arial" w:cs="Arial"/>
          <w:color w:val="000000"/>
          <w:sz w:val="24"/>
        </w:rPr>
        <w:t>esto i datum: Bar, 05.11.2020.</w:t>
      </w:r>
      <w:bookmarkStart w:id="22" w:name="_GoBack"/>
      <w:bookmarkEnd w:id="22"/>
    </w:p>
    <w:p w:rsidR="000212D0" w:rsidRP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0212D0" w:rsidRP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U skladu </w:t>
      </w: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sa</w:t>
      </w:r>
      <w:proofErr w:type="gramEnd"/>
      <w:r w:rsidRPr="000212D0">
        <w:rPr>
          <w:rFonts w:ascii="Arial" w:eastAsia="Times New Roman" w:hAnsi="Arial" w:cs="Arial"/>
          <w:color w:val="000000"/>
          <w:sz w:val="24"/>
        </w:rPr>
        <w:t xml:space="preserve"> članom 43 stav 1 Zakona o javnim nabavkama („Službeni list CG”, br.74/19),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</w:rPr>
      </w:pPr>
      <w:r w:rsidRPr="000212D0">
        <w:rPr>
          <w:rFonts w:ascii="Arial" w:eastAsia="Times New Roman" w:hAnsi="Arial" w:cs="Arial"/>
          <w:b/>
          <w:bCs/>
          <w:color w:val="000000"/>
          <w:sz w:val="24"/>
        </w:rPr>
        <w:t>Izjavljujem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val="sr-Latn-CS"/>
        </w:rPr>
      </w:pPr>
    </w:p>
    <w:p w:rsidR="000212D0" w:rsidRPr="000212D0" w:rsidRDefault="000212D0" w:rsidP="000212D0">
      <w:pPr>
        <w:spacing w:after="0" w:line="20" w:lineRule="atLeast"/>
        <w:jc w:val="both"/>
        <w:rPr>
          <w:rFonts w:ascii="Arial" w:hAnsi="Arial" w:cs="Arial"/>
          <w:sz w:val="24"/>
        </w:rPr>
      </w:pP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da</w:t>
      </w:r>
      <w:proofErr w:type="gramEnd"/>
      <w:r w:rsidRPr="000212D0">
        <w:rPr>
          <w:rFonts w:ascii="Arial" w:eastAsia="Times New Roman" w:hAnsi="Arial" w:cs="Arial"/>
          <w:color w:val="000000"/>
          <w:sz w:val="24"/>
        </w:rPr>
        <w:t xml:space="preserve"> u postupku javne nabavke redni broj 8 iz Plana javne nabavke broj 01-018/20-1926 od 21.07.2020. </w:t>
      </w:r>
      <w:proofErr w:type="gramStart"/>
      <w:r w:rsidRPr="000212D0">
        <w:rPr>
          <w:rFonts w:ascii="Arial" w:eastAsia="Times New Roman" w:hAnsi="Arial" w:cs="Arial"/>
          <w:color w:val="000000"/>
          <w:sz w:val="24"/>
        </w:rPr>
        <w:t>godine</w:t>
      </w:r>
      <w:proofErr w:type="gramEnd"/>
      <w:r w:rsidRPr="000212D0">
        <w:rPr>
          <w:rFonts w:ascii="Arial" w:eastAsia="Times New Roman" w:hAnsi="Arial" w:cs="Arial"/>
          <w:color w:val="000000"/>
          <w:sz w:val="24"/>
        </w:rPr>
        <w:t xml:space="preserve"> </w:t>
      </w:r>
      <w:r w:rsidRPr="000212D0">
        <w:rPr>
          <w:rFonts w:ascii="Arial" w:hAnsi="Arial" w:cs="Arial"/>
          <w:sz w:val="24"/>
        </w:rPr>
        <w:t xml:space="preserve">za nabavku goriva za potrebe organa lokalne uprave </w:t>
      </w:r>
      <w:r w:rsidRPr="000212D0">
        <w:rPr>
          <w:rFonts w:ascii="Arial" w:eastAsia="Times New Roman" w:hAnsi="Arial" w:cs="Arial"/>
          <w:color w:val="000000"/>
          <w:sz w:val="24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Predsjednik:                                                                                        Dušan Raičević    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                </w:t>
      </w:r>
    </w:p>
    <w:p w:rsidR="000212D0" w:rsidRPr="000212D0" w:rsidRDefault="000212D0" w:rsidP="000212D0">
      <w:pPr>
        <w:tabs>
          <w:tab w:val="left" w:pos="3290"/>
          <w:tab w:val="left" w:pos="648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color w:val="000000"/>
          <w:sz w:val="24"/>
        </w:rPr>
        <w:t xml:space="preserve">                                                                                                   ____________________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</w:t>
      </w:r>
      <w:proofErr w:type="gramStart"/>
      <w:r w:rsidR="00BA3BDB"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Predsjednik komisije </w:t>
      </w:r>
      <w:r w:rsidRPr="000212D0">
        <w:rPr>
          <w:rFonts w:ascii="Arial" w:eastAsia="Times New Roman" w:hAnsi="Arial" w:cs="Arial"/>
          <w:sz w:val="24"/>
        </w:rPr>
        <w:t>za sprovođenje postupka javne nabavke:         Natalija Šainović</w:t>
      </w: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____</w:t>
      </w:r>
      <w:r w:rsidRPr="000212D0">
        <w:rPr>
          <w:rFonts w:ascii="Arial" w:eastAsia="Times New Roman" w:hAnsi="Arial" w:cs="Arial"/>
          <w:color w:val="000000"/>
          <w:sz w:val="24"/>
        </w:rPr>
        <w:t>________________</w:t>
      </w:r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  </w:t>
      </w:r>
      <w:proofErr w:type="gramStart"/>
      <w:r w:rsidR="00BA3BDB"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Član komisije </w:t>
      </w:r>
      <w:r w:rsidRPr="000212D0">
        <w:rPr>
          <w:rFonts w:ascii="Arial" w:eastAsia="Times New Roman" w:hAnsi="Arial" w:cs="Arial"/>
          <w:sz w:val="24"/>
        </w:rPr>
        <w:t>za sprovođenje postupka javne nabavke</w:t>
      </w:r>
      <w:r w:rsidRPr="000212D0">
        <w:rPr>
          <w:rFonts w:ascii="Arial" w:hAnsi="Arial" w:cs="Arial"/>
          <w:sz w:val="24"/>
          <w:szCs w:val="24"/>
          <w:lang w:val="sl-SI"/>
        </w:rPr>
        <w:t xml:space="preserve">                     Samir Duraković</w:t>
      </w: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212D0" w:rsidRPr="000212D0" w:rsidRDefault="000212D0" w:rsidP="000212D0">
      <w:pPr>
        <w:tabs>
          <w:tab w:val="left" w:pos="3290"/>
          <w:tab w:val="right" w:pos="9360"/>
        </w:tabs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0212D0" w:rsidRPr="000212D0" w:rsidRDefault="00BA3BDB" w:rsidP="00BA3BDB">
      <w:pPr>
        <w:tabs>
          <w:tab w:val="left" w:pos="8085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</w:rPr>
      </w:pPr>
      <w:r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Pr="000212D0" w:rsidRDefault="000212D0" w:rsidP="000212D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</w:rPr>
      </w:pPr>
    </w:p>
    <w:p w:rsidR="00CA12E3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  <w:r w:rsidRPr="000212D0">
        <w:rPr>
          <w:rFonts w:ascii="Arial" w:eastAsia="Times New Roman" w:hAnsi="Arial" w:cs="Arial"/>
          <w:iCs/>
          <w:color w:val="000000"/>
          <w:sz w:val="24"/>
        </w:rPr>
        <w:t xml:space="preserve">Član komisije </w:t>
      </w:r>
      <w:r w:rsidRPr="000212D0">
        <w:rPr>
          <w:rFonts w:ascii="Arial" w:eastAsia="Times New Roman" w:hAnsi="Arial" w:cs="Arial"/>
          <w:sz w:val="24"/>
        </w:rPr>
        <w:t>za sprovođenje postupka javne nabavk</w:t>
      </w:r>
      <w:r w:rsidRPr="000212D0">
        <w:rPr>
          <w:rFonts w:ascii="Arial" w:eastAsia="Times New Roman" w:hAnsi="Arial" w:cs="Arial"/>
          <w:iCs/>
          <w:color w:val="000000"/>
          <w:sz w:val="24"/>
        </w:rPr>
        <w:t>e:                     Miloš Lazarević</w:t>
      </w:r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</w:p>
    <w:p w:rsidR="000212D0" w:rsidRDefault="00BA3BDB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  <w:r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___________________</w:t>
      </w:r>
    </w:p>
    <w:p w:rsidR="000212D0" w:rsidRDefault="00BA3BDB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  <w:r>
        <w:rPr>
          <w:rFonts w:ascii="Arial" w:eastAsia="Times New Roman" w:hAnsi="Arial" w:cs="Arial"/>
          <w:iCs/>
          <w:color w:val="000000"/>
          <w:sz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Arial" w:eastAsia="Times New Roman" w:hAnsi="Arial" w:cs="Arial"/>
          <w:iCs/>
          <w:color w:val="000000"/>
          <w:sz w:val="24"/>
        </w:rPr>
        <w:t>s.r.</w:t>
      </w:r>
      <w:proofErr w:type="gramEnd"/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</w:rPr>
      </w:pPr>
    </w:p>
    <w:p w:rsidR="000212D0" w:rsidRDefault="000212D0" w:rsidP="000212D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974D5" w:rsidRPr="007974D5" w:rsidRDefault="007974D5" w:rsidP="008F26A4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23" w:name="_Toc44578277"/>
      <w:bookmarkStart w:id="24" w:name="_Toc54001461"/>
      <w:bookmarkStart w:id="25" w:name="_Toc54003131"/>
      <w:r w:rsidRPr="007974D5">
        <w:rPr>
          <w:rFonts w:ascii="Arial" w:eastAsia="Times New Roman" w:hAnsi="Arial" w:cs="Arial"/>
          <w:b/>
          <w:bCs/>
          <w:sz w:val="24"/>
          <w:szCs w:val="24"/>
        </w:rPr>
        <w:lastRenderedPageBreak/>
        <w:t>UPUTSTVO O PRAVNOM SREDSTVU</w:t>
      </w:r>
      <w:bookmarkEnd w:id="23"/>
      <w:bookmarkEnd w:id="24"/>
      <w:bookmarkEnd w:id="25"/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prije dana koji je određen za otvaranje ponuda. 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Žalba se izjavljuje preko naručioca neposredno, putem pošte preporučenom pošiljkom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dostavnicom ili elektronskim putem preko ESJN-a</w:t>
      </w:r>
      <w:r w:rsidRPr="007974D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2"/>
      </w: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. Žalba koja nije podnesena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naprijed predviđeni način biće odbijena kao nedozvoljena.</w:t>
      </w: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Ukoliko je predmet nabavke podijeljen po partijama, a žalba se odnosi samo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određenu/e partiju/e, naknada se plaća u iznosu 1% od procijenjene vrijednosti javne nabavke te/tih partije/a.</w:t>
      </w:r>
    </w:p>
    <w:p w:rsidR="007974D5" w:rsidRPr="007974D5" w:rsidRDefault="007974D5" w:rsidP="007974D5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41E25" w:rsidRPr="00DF3442" w:rsidRDefault="007974D5" w:rsidP="00DF344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Instrukcije za plaćanje naknade za vođenje postupka </w:t>
      </w:r>
      <w:proofErr w:type="gramStart"/>
      <w:r w:rsidRPr="007974D5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gramEnd"/>
      <w:r w:rsidRPr="007974D5">
        <w:rPr>
          <w:rFonts w:ascii="Arial" w:eastAsia="Times New Roman" w:hAnsi="Arial" w:cs="Arial"/>
          <w:color w:val="000000"/>
          <w:sz w:val="24"/>
          <w:szCs w:val="24"/>
        </w:rPr>
        <w:t xml:space="preserve"> strane žalilaca iz inostranstva nalaze se na internet stranici Komisije za zaštitu prava nabavki http://www.kont</w:t>
      </w:r>
      <w:r w:rsidR="00DF3442">
        <w:rPr>
          <w:rFonts w:ascii="Arial" w:eastAsia="Times New Roman" w:hAnsi="Arial" w:cs="Arial"/>
          <w:color w:val="000000"/>
          <w:sz w:val="24"/>
          <w:szCs w:val="24"/>
        </w:rPr>
        <w:t>rola-nabavki.me/</w:t>
      </w:r>
    </w:p>
    <w:sectPr w:rsidR="00541E25" w:rsidRPr="00DF34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98" w:rsidRDefault="007E0898" w:rsidP="007974D5">
      <w:pPr>
        <w:spacing w:after="0" w:line="240" w:lineRule="auto"/>
      </w:pPr>
      <w:r>
        <w:separator/>
      </w:r>
    </w:p>
  </w:endnote>
  <w:endnote w:type="continuationSeparator" w:id="0">
    <w:p w:rsidR="007E0898" w:rsidRDefault="007E0898" w:rsidP="0079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4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42C" w:rsidRDefault="002674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48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348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742C" w:rsidRDefault="00267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98" w:rsidRDefault="007E0898" w:rsidP="007974D5">
      <w:pPr>
        <w:spacing w:after="0" w:line="240" w:lineRule="auto"/>
      </w:pPr>
      <w:r>
        <w:separator/>
      </w:r>
    </w:p>
  </w:footnote>
  <w:footnote w:type="continuationSeparator" w:id="0">
    <w:p w:rsidR="007E0898" w:rsidRDefault="007E0898" w:rsidP="007974D5">
      <w:pPr>
        <w:spacing w:after="0" w:line="240" w:lineRule="auto"/>
      </w:pPr>
      <w:r>
        <w:continuationSeparator/>
      </w:r>
    </w:p>
  </w:footnote>
  <w:footnote w:id="1">
    <w:p w:rsidR="0026742C" w:rsidRPr="00367536" w:rsidRDefault="0026742C" w:rsidP="007974D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26742C" w:rsidRPr="0099622E" w:rsidRDefault="0026742C" w:rsidP="007974D5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62C6"/>
    <w:multiLevelType w:val="hybridMultilevel"/>
    <w:tmpl w:val="76F05CDE"/>
    <w:lvl w:ilvl="0" w:tplc="1244071E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F0A4C"/>
    <w:multiLevelType w:val="hybridMultilevel"/>
    <w:tmpl w:val="7708F05C"/>
    <w:lvl w:ilvl="0" w:tplc="2C1A000F">
      <w:start w:val="1"/>
      <w:numFmt w:val="decimal"/>
      <w:lvlText w:val="%1."/>
      <w:lvlJc w:val="left"/>
      <w:pPr>
        <w:ind w:left="45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82723"/>
    <w:multiLevelType w:val="hybridMultilevel"/>
    <w:tmpl w:val="5E009DF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556DF"/>
    <w:multiLevelType w:val="hybridMultilevel"/>
    <w:tmpl w:val="1E3894E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5"/>
    <w:rsid w:val="0002074E"/>
    <w:rsid w:val="000212D0"/>
    <w:rsid w:val="0002373F"/>
    <w:rsid w:val="00077784"/>
    <w:rsid w:val="00077F69"/>
    <w:rsid w:val="00085215"/>
    <w:rsid w:val="000D5625"/>
    <w:rsid w:val="000F2A10"/>
    <w:rsid w:val="000F5567"/>
    <w:rsid w:val="00107761"/>
    <w:rsid w:val="00122C50"/>
    <w:rsid w:val="001236BA"/>
    <w:rsid w:val="00132545"/>
    <w:rsid w:val="00177E84"/>
    <w:rsid w:val="00183192"/>
    <w:rsid w:val="001A6E62"/>
    <w:rsid w:val="001A76A1"/>
    <w:rsid w:val="001D55B6"/>
    <w:rsid w:val="001D746C"/>
    <w:rsid w:val="001E2631"/>
    <w:rsid w:val="00204E36"/>
    <w:rsid w:val="002056D8"/>
    <w:rsid w:val="00225AA5"/>
    <w:rsid w:val="00227BFA"/>
    <w:rsid w:val="00236A61"/>
    <w:rsid w:val="00244549"/>
    <w:rsid w:val="00254D33"/>
    <w:rsid w:val="00260B9A"/>
    <w:rsid w:val="002660F9"/>
    <w:rsid w:val="0026742C"/>
    <w:rsid w:val="00275C5D"/>
    <w:rsid w:val="00282E77"/>
    <w:rsid w:val="002A48E1"/>
    <w:rsid w:val="002B675E"/>
    <w:rsid w:val="002C094A"/>
    <w:rsid w:val="00300CBC"/>
    <w:rsid w:val="003146EA"/>
    <w:rsid w:val="00335203"/>
    <w:rsid w:val="00371DA0"/>
    <w:rsid w:val="003B7BF2"/>
    <w:rsid w:val="003C4644"/>
    <w:rsid w:val="003C68D6"/>
    <w:rsid w:val="003D1066"/>
    <w:rsid w:val="003D4C4E"/>
    <w:rsid w:val="003E2E34"/>
    <w:rsid w:val="003F28D7"/>
    <w:rsid w:val="00417C1B"/>
    <w:rsid w:val="004271D7"/>
    <w:rsid w:val="004354E8"/>
    <w:rsid w:val="00450519"/>
    <w:rsid w:val="00457802"/>
    <w:rsid w:val="00473489"/>
    <w:rsid w:val="00491858"/>
    <w:rsid w:val="004949C3"/>
    <w:rsid w:val="004A168E"/>
    <w:rsid w:val="004A64F7"/>
    <w:rsid w:val="004C295F"/>
    <w:rsid w:val="004C2B34"/>
    <w:rsid w:val="004D0B65"/>
    <w:rsid w:val="004D18C2"/>
    <w:rsid w:val="004D5D0E"/>
    <w:rsid w:val="004F0E78"/>
    <w:rsid w:val="005030D3"/>
    <w:rsid w:val="00541E25"/>
    <w:rsid w:val="00551A6E"/>
    <w:rsid w:val="00554CF1"/>
    <w:rsid w:val="00562ED5"/>
    <w:rsid w:val="0057425B"/>
    <w:rsid w:val="00576ECB"/>
    <w:rsid w:val="005840B1"/>
    <w:rsid w:val="00585000"/>
    <w:rsid w:val="0058776F"/>
    <w:rsid w:val="00594B15"/>
    <w:rsid w:val="005A2055"/>
    <w:rsid w:val="005A45A4"/>
    <w:rsid w:val="005D1D0D"/>
    <w:rsid w:val="005D5DF2"/>
    <w:rsid w:val="005E46FB"/>
    <w:rsid w:val="005F1D36"/>
    <w:rsid w:val="005F4971"/>
    <w:rsid w:val="0060105F"/>
    <w:rsid w:val="00621CB2"/>
    <w:rsid w:val="0062226C"/>
    <w:rsid w:val="0062264F"/>
    <w:rsid w:val="00643711"/>
    <w:rsid w:val="00655976"/>
    <w:rsid w:val="00671F07"/>
    <w:rsid w:val="00690A6F"/>
    <w:rsid w:val="006A10BD"/>
    <w:rsid w:val="006B4008"/>
    <w:rsid w:val="006B6E4F"/>
    <w:rsid w:val="006D2903"/>
    <w:rsid w:val="006D4072"/>
    <w:rsid w:val="006E04A0"/>
    <w:rsid w:val="006F32DA"/>
    <w:rsid w:val="00700E08"/>
    <w:rsid w:val="00705FCD"/>
    <w:rsid w:val="007113C4"/>
    <w:rsid w:val="007379C6"/>
    <w:rsid w:val="007420A8"/>
    <w:rsid w:val="0074595D"/>
    <w:rsid w:val="0075308C"/>
    <w:rsid w:val="007618EF"/>
    <w:rsid w:val="0076345E"/>
    <w:rsid w:val="007735F6"/>
    <w:rsid w:val="00773E76"/>
    <w:rsid w:val="007762D1"/>
    <w:rsid w:val="007974D5"/>
    <w:rsid w:val="007C2F3D"/>
    <w:rsid w:val="007E0898"/>
    <w:rsid w:val="00802436"/>
    <w:rsid w:val="00805281"/>
    <w:rsid w:val="00810551"/>
    <w:rsid w:val="008152DD"/>
    <w:rsid w:val="0082595A"/>
    <w:rsid w:val="008326DB"/>
    <w:rsid w:val="00844911"/>
    <w:rsid w:val="008527E7"/>
    <w:rsid w:val="00852B70"/>
    <w:rsid w:val="008538E7"/>
    <w:rsid w:val="00873A8B"/>
    <w:rsid w:val="008A6D25"/>
    <w:rsid w:val="008C5DF0"/>
    <w:rsid w:val="008D39CF"/>
    <w:rsid w:val="008D3BE4"/>
    <w:rsid w:val="008E28CB"/>
    <w:rsid w:val="008F26A4"/>
    <w:rsid w:val="0092478D"/>
    <w:rsid w:val="00930F61"/>
    <w:rsid w:val="00936ED8"/>
    <w:rsid w:val="00993404"/>
    <w:rsid w:val="009C3BB7"/>
    <w:rsid w:val="009C498A"/>
    <w:rsid w:val="009E2058"/>
    <w:rsid w:val="009F7746"/>
    <w:rsid w:val="00A021E8"/>
    <w:rsid w:val="00A33150"/>
    <w:rsid w:val="00A46967"/>
    <w:rsid w:val="00A62EF1"/>
    <w:rsid w:val="00A65B7C"/>
    <w:rsid w:val="00A806C8"/>
    <w:rsid w:val="00A859BE"/>
    <w:rsid w:val="00AB778F"/>
    <w:rsid w:val="00AD16EE"/>
    <w:rsid w:val="00AD1B8F"/>
    <w:rsid w:val="00AD2D82"/>
    <w:rsid w:val="00AD2EBA"/>
    <w:rsid w:val="00AD4F55"/>
    <w:rsid w:val="00AD693D"/>
    <w:rsid w:val="00AE0047"/>
    <w:rsid w:val="00B02C87"/>
    <w:rsid w:val="00B20E7E"/>
    <w:rsid w:val="00B2698B"/>
    <w:rsid w:val="00B26DAB"/>
    <w:rsid w:val="00B450EF"/>
    <w:rsid w:val="00B60BEF"/>
    <w:rsid w:val="00B61E1E"/>
    <w:rsid w:val="00B6216E"/>
    <w:rsid w:val="00B657F9"/>
    <w:rsid w:val="00B74E04"/>
    <w:rsid w:val="00BA3BDB"/>
    <w:rsid w:val="00BC33C2"/>
    <w:rsid w:val="00BC4665"/>
    <w:rsid w:val="00BC7A01"/>
    <w:rsid w:val="00BD37E0"/>
    <w:rsid w:val="00BE4AA8"/>
    <w:rsid w:val="00BE5A29"/>
    <w:rsid w:val="00BE7B7E"/>
    <w:rsid w:val="00BE7D22"/>
    <w:rsid w:val="00BF7ED4"/>
    <w:rsid w:val="00C1202D"/>
    <w:rsid w:val="00C50025"/>
    <w:rsid w:val="00C559D3"/>
    <w:rsid w:val="00C75617"/>
    <w:rsid w:val="00C76301"/>
    <w:rsid w:val="00C87445"/>
    <w:rsid w:val="00CA12E3"/>
    <w:rsid w:val="00CB69B7"/>
    <w:rsid w:val="00CC2CF8"/>
    <w:rsid w:val="00CC7A3A"/>
    <w:rsid w:val="00CD52A6"/>
    <w:rsid w:val="00CE6707"/>
    <w:rsid w:val="00D16B58"/>
    <w:rsid w:val="00D17C2D"/>
    <w:rsid w:val="00D270EE"/>
    <w:rsid w:val="00D27CF8"/>
    <w:rsid w:val="00D34137"/>
    <w:rsid w:val="00D42A03"/>
    <w:rsid w:val="00D61D13"/>
    <w:rsid w:val="00D82B7B"/>
    <w:rsid w:val="00D93928"/>
    <w:rsid w:val="00DA3FDC"/>
    <w:rsid w:val="00DD0043"/>
    <w:rsid w:val="00DD5BB7"/>
    <w:rsid w:val="00DE11C7"/>
    <w:rsid w:val="00DE1C84"/>
    <w:rsid w:val="00DF3442"/>
    <w:rsid w:val="00DF3AE5"/>
    <w:rsid w:val="00E00B66"/>
    <w:rsid w:val="00E275AF"/>
    <w:rsid w:val="00E34543"/>
    <w:rsid w:val="00E500D8"/>
    <w:rsid w:val="00E51FA1"/>
    <w:rsid w:val="00E62657"/>
    <w:rsid w:val="00E642AF"/>
    <w:rsid w:val="00E6631C"/>
    <w:rsid w:val="00E81D12"/>
    <w:rsid w:val="00EA339A"/>
    <w:rsid w:val="00EB128A"/>
    <w:rsid w:val="00EB6B85"/>
    <w:rsid w:val="00EE08D6"/>
    <w:rsid w:val="00EF637D"/>
    <w:rsid w:val="00F07043"/>
    <w:rsid w:val="00F1008A"/>
    <w:rsid w:val="00F12623"/>
    <w:rsid w:val="00F17BB1"/>
    <w:rsid w:val="00F31E01"/>
    <w:rsid w:val="00F32407"/>
    <w:rsid w:val="00F46507"/>
    <w:rsid w:val="00F62B62"/>
    <w:rsid w:val="00F6349F"/>
    <w:rsid w:val="00F71BFC"/>
    <w:rsid w:val="00F77F09"/>
    <w:rsid w:val="00F83C0B"/>
    <w:rsid w:val="00F901E5"/>
    <w:rsid w:val="00F96402"/>
    <w:rsid w:val="00FA3CFD"/>
    <w:rsid w:val="00FA67BD"/>
    <w:rsid w:val="00FB2ACC"/>
    <w:rsid w:val="00FC4916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D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1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7113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3C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3C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D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79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B7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B7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3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79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52B70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852B70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7974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4D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74D5"/>
    <w:rPr>
      <w:vertAlign w:val="superscript"/>
    </w:rPr>
  </w:style>
  <w:style w:type="paragraph" w:styleId="ListParagraph">
    <w:name w:val="List Paragraph"/>
    <w:basedOn w:val="Normal"/>
    <w:link w:val="ListParagraphChar"/>
    <w:uiPriority w:val="1"/>
    <w:qFormat/>
    <w:rsid w:val="007974D5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link w:val="ListParagraph"/>
    <w:uiPriority w:val="1"/>
    <w:locked/>
    <w:rsid w:val="007974D5"/>
    <w:rPr>
      <w:rFonts w:ascii="Calibri" w:eastAsia="Calibri" w:hAnsi="Calibri" w:cs="Calibri"/>
      <w:lang w:val="sr-Latn-CS"/>
    </w:rPr>
  </w:style>
  <w:style w:type="character" w:styleId="Hyperlink">
    <w:name w:val="Hyperlink"/>
    <w:basedOn w:val="DefaultParagraphFont"/>
    <w:uiPriority w:val="99"/>
    <w:rsid w:val="007974D5"/>
    <w:rPr>
      <w:color w:val="0000FF"/>
      <w:u w:val="single"/>
    </w:rPr>
  </w:style>
  <w:style w:type="paragraph" w:styleId="NoSpacing">
    <w:name w:val="No Spacing"/>
    <w:uiPriority w:val="1"/>
    <w:qFormat/>
    <w:rsid w:val="00852B70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t-98-2">
    <w:name w:val="t-98-2"/>
    <w:basedOn w:val="Normal"/>
    <w:uiPriority w:val="99"/>
    <w:rsid w:val="00852B7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852B70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52B70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B70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852B70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,Text"/>
    <w:basedOn w:val="Normal"/>
    <w:link w:val="BodyTextChar"/>
    <w:uiPriority w:val="99"/>
    <w:qFormat/>
    <w:rsid w:val="00852B70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,Text Char"/>
    <w:basedOn w:val="DefaultParagraphFont"/>
    <w:link w:val="BodyText"/>
    <w:uiPriority w:val="99"/>
    <w:rsid w:val="00852B70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rsid w:val="00852B70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rsid w:val="00852B70"/>
    <w:rPr>
      <w:rFonts w:ascii="Courier New" w:eastAsia="PMingLiU" w:hAnsi="Courier New" w:cs="Courier New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uiPriority w:val="99"/>
    <w:rsid w:val="00852B70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2B70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852B70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852B70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52B70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852B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852B70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852B7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852B7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852B70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852B70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852B70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52B70"/>
    <w:pPr>
      <w:outlineLvl w:val="9"/>
    </w:pPr>
    <w:rPr>
      <w:rFonts w:ascii="Cambria" w:eastAsia="Times New Roman" w:hAnsi="Cambria" w:cs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852B70"/>
    <w:pPr>
      <w:spacing w:after="100"/>
    </w:pPr>
    <w:rPr>
      <w:rFonts w:ascii="Calibri" w:eastAsia="PMingLiU" w:hAnsi="Calibri" w:cs="Calibri"/>
      <w:lang w:eastAsia="zh-TW"/>
    </w:rPr>
  </w:style>
  <w:style w:type="character" w:styleId="SubtleReference">
    <w:name w:val="Subtle Reference"/>
    <w:basedOn w:val="DefaultParagraphFont"/>
    <w:uiPriority w:val="99"/>
    <w:qFormat/>
    <w:rsid w:val="00852B70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852B70"/>
    <w:pPr>
      <w:tabs>
        <w:tab w:val="right" w:leader="dot" w:pos="9346"/>
      </w:tabs>
      <w:spacing w:after="10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rsid w:val="00852B70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basedOn w:val="Normal"/>
    <w:link w:val="Head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852B70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852B70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52B70"/>
    <w:rPr>
      <w:rFonts w:ascii="Calibri" w:eastAsia="PMingLiU" w:hAnsi="Calibri" w:cs="Calibri"/>
      <w:lang w:eastAsia="zh-TW"/>
    </w:rPr>
  </w:style>
  <w:style w:type="character" w:styleId="CommentReference">
    <w:name w:val="annotation reference"/>
    <w:basedOn w:val="DefaultParagraphFont"/>
    <w:uiPriority w:val="99"/>
    <w:rsid w:val="00852B70"/>
    <w:rPr>
      <w:sz w:val="16"/>
      <w:szCs w:val="16"/>
    </w:rPr>
  </w:style>
  <w:style w:type="character" w:styleId="EndnoteReference">
    <w:name w:val="endnote reference"/>
    <w:basedOn w:val="DefaultParagraphFont"/>
    <w:uiPriority w:val="99"/>
    <w:rsid w:val="00852B70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852B70"/>
  </w:style>
  <w:style w:type="paragraph" w:styleId="TOC4">
    <w:name w:val="toc 4"/>
    <w:basedOn w:val="Normal"/>
    <w:next w:val="Normal"/>
    <w:autoRedefine/>
    <w:uiPriority w:val="99"/>
    <w:rsid w:val="00852B70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rsid w:val="00852B70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rsid w:val="00852B70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rsid w:val="00852B70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rsid w:val="00852B70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rsid w:val="00852B70"/>
    <w:pPr>
      <w:spacing w:after="100"/>
      <w:ind w:left="1760"/>
    </w:pPr>
    <w:rPr>
      <w:rFonts w:ascii="Calibri" w:eastAsia="Times New Roman" w:hAnsi="Calibri" w:cs="Calibri"/>
    </w:rPr>
  </w:style>
  <w:style w:type="character" w:styleId="Emphasis">
    <w:name w:val="Emphasis"/>
    <w:basedOn w:val="DefaultParagraphFont"/>
    <w:qFormat/>
    <w:rsid w:val="00852B70"/>
    <w:rPr>
      <w:i/>
      <w:iCs/>
    </w:rPr>
  </w:style>
  <w:style w:type="paragraph" w:styleId="NormalWeb">
    <w:name w:val="Normal (Web)"/>
    <w:basedOn w:val="Normal"/>
    <w:rsid w:val="0085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B7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B70"/>
    <w:rPr>
      <w:rFonts w:ascii="Calibri" w:eastAsia="Calibri" w:hAnsi="Calibri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852B70"/>
    <w:pPr>
      <w:spacing w:before="120" w:after="120" w:line="240" w:lineRule="auto"/>
      <w:ind w:left="720"/>
    </w:pPr>
    <w:rPr>
      <w:rFonts w:ascii="Times New (W1)" w:eastAsia="PMingLiU" w:hAnsi="Times New (W1)" w:cs="Times New Roman"/>
      <w:sz w:val="24"/>
      <w:szCs w:val="28"/>
      <w:lang w:val="en-GB"/>
    </w:rPr>
  </w:style>
  <w:style w:type="paragraph" w:customStyle="1" w:styleId="TableParagraph">
    <w:name w:val="Table Paragraph"/>
    <w:basedOn w:val="Normal"/>
    <w:uiPriority w:val="1"/>
    <w:qFormat/>
    <w:rsid w:val="00852B7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5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7113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3C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3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5D9A-01B2-40F6-875D-A4138A1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14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natalija.sainovic</cp:lastModifiedBy>
  <cp:revision>27</cp:revision>
  <cp:lastPrinted>2020-11-04T12:30:00Z</cp:lastPrinted>
  <dcterms:created xsi:type="dcterms:W3CDTF">2020-10-22T05:42:00Z</dcterms:created>
  <dcterms:modified xsi:type="dcterms:W3CDTF">2020-11-05T12:11:00Z</dcterms:modified>
</cp:coreProperties>
</file>